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8E1C22" w:rsidRDefault="008E1C22" w:rsidP="006F52C0">
      <w:pPr>
        <w:pStyle w:val="Standard"/>
        <w:spacing w:before="28" w:after="28"/>
        <w:jc w:val="both"/>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lang w:eastAsia="pl-PL"/>
        </w:rPr>
      </w:pPr>
    </w:p>
    <w:p w:rsidR="002F6FE0" w:rsidRDefault="008E1C22" w:rsidP="008E1C22">
      <w:pPr>
        <w:pStyle w:val="Standard"/>
        <w:spacing w:before="28" w:after="28"/>
        <w:jc w:val="center"/>
        <w:rPr>
          <w:rFonts w:eastAsia="Times New Roman" w:cs="Times New Roman"/>
          <w:b/>
          <w:bCs/>
          <w:sz w:val="28"/>
          <w:szCs w:val="28"/>
          <w:lang w:eastAsia="pl-PL"/>
        </w:rPr>
      </w:pPr>
      <w:r>
        <w:rPr>
          <w:rFonts w:eastAsia="Times New Roman" w:cs="Times New Roman"/>
          <w:b/>
          <w:bCs/>
          <w:sz w:val="28"/>
          <w:szCs w:val="28"/>
          <w:lang w:eastAsia="pl-PL"/>
        </w:rPr>
        <w:t>„</w:t>
      </w:r>
      <w:r w:rsidRPr="008E1C22">
        <w:rPr>
          <w:rFonts w:eastAsia="Times New Roman" w:cs="Times New Roman"/>
          <w:b/>
          <w:bCs/>
          <w:sz w:val="28"/>
          <w:szCs w:val="28"/>
          <w:lang w:eastAsia="pl-PL"/>
        </w:rPr>
        <w:t xml:space="preserve">Roboty budowlane przy budynku remizy OSP w </w:t>
      </w:r>
      <w:r w:rsidR="00C20BD8">
        <w:rPr>
          <w:rFonts w:eastAsia="Times New Roman" w:cs="Times New Roman"/>
          <w:b/>
          <w:bCs/>
          <w:sz w:val="28"/>
          <w:szCs w:val="28"/>
          <w:lang w:eastAsia="pl-PL"/>
        </w:rPr>
        <w:t>Trzebienicach</w:t>
      </w:r>
      <w:r w:rsidR="00B03DF9">
        <w:rPr>
          <w:rFonts w:eastAsia="Times New Roman" w:cs="Times New Roman"/>
          <w:b/>
          <w:bCs/>
          <w:sz w:val="28"/>
          <w:szCs w:val="28"/>
          <w:lang w:eastAsia="pl-PL"/>
        </w:rPr>
        <w:t>”.</w:t>
      </w:r>
    </w:p>
    <w:p w:rsidR="00B03DF9" w:rsidRDefault="00B03DF9" w:rsidP="00B03DF9">
      <w:pPr>
        <w:pStyle w:val="Standard"/>
        <w:spacing w:before="28" w:after="28"/>
        <w:rPr>
          <w:rFonts w:eastAsia="Times New Roman" w:cs="Times New Roman"/>
          <w:b/>
          <w:bCs/>
          <w:lang w:eastAsia="pl-PL"/>
        </w:rPr>
      </w:pPr>
    </w:p>
    <w:p w:rsidR="008E1C22" w:rsidRPr="009D2E16" w:rsidRDefault="008E1C22" w:rsidP="00B03DF9">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B03DF9">
        <w:rPr>
          <w:rFonts w:eastAsia="Times New Roman" w:cs="Times New Roman"/>
          <w:b/>
          <w:bCs/>
          <w:lang w:eastAsia="pl-PL"/>
        </w:rPr>
        <w:t>.271.</w:t>
      </w:r>
      <w:r w:rsidR="008E1C22">
        <w:rPr>
          <w:rFonts w:eastAsia="Times New Roman" w:cs="Times New Roman"/>
          <w:b/>
          <w:bCs/>
          <w:lang w:eastAsia="pl-PL"/>
        </w:rPr>
        <w:t>3</w:t>
      </w:r>
      <w:r w:rsidR="00FB519A">
        <w:rPr>
          <w:rFonts w:eastAsia="Times New Roman" w:cs="Times New Roman"/>
          <w:b/>
          <w:bCs/>
          <w:lang w:eastAsia="pl-PL"/>
        </w:rPr>
        <w:t>.2016</w:t>
      </w:r>
    </w:p>
    <w:p w:rsidR="002F6FE0" w:rsidRDefault="002F6FE0" w:rsidP="006F52C0">
      <w:pPr>
        <w:pStyle w:val="Standard"/>
        <w:spacing w:before="28" w:after="28"/>
        <w:rPr>
          <w:rFonts w:eastAsia="Times New Roman" w:cs="Times New Roman"/>
          <w:lang w:eastAsia="pl-PL"/>
        </w:rPr>
      </w:pPr>
    </w:p>
    <w:p w:rsidR="008E1C22" w:rsidRDefault="008E1C22"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w:t>
      </w:r>
    </w:p>
    <w:p w:rsidR="002F6FE0" w:rsidRPr="009D2E16" w:rsidRDefault="002F6FE0" w:rsidP="00085B9A">
      <w:pPr>
        <w:pStyle w:val="Standard"/>
        <w:numPr>
          <w:ilvl w:val="0"/>
          <w:numId w:val="2"/>
        </w:numPr>
        <w:spacing w:before="28" w:after="28"/>
        <w:jc w:val="both"/>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085B9A" w:rsidRPr="00085B9A">
        <w:rPr>
          <w:rFonts w:eastAsia="Times New Roman" w:cs="Times New Roman"/>
          <w:lang w:eastAsia="pl-PL"/>
        </w:rPr>
        <w:t>83542 - 2016; data zamieszczenia: 11.04.2016</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085B9A">
        <w:rPr>
          <w:rFonts w:eastAsia="Times New Roman" w:cs="Times New Roman"/>
          <w:lang w:eastAsia="pl-PL"/>
        </w:rPr>
        <w:t>11.04.</w:t>
      </w:r>
      <w:r w:rsidR="00C20BD8">
        <w:rPr>
          <w:rFonts w:eastAsia="Times New Roman" w:cs="Times New Roman"/>
          <w:lang w:eastAsia="pl-PL"/>
        </w:rPr>
        <w:t>2016</w:t>
      </w:r>
      <w:r w:rsidR="00DA2F29" w:rsidRPr="009D2E16">
        <w:rPr>
          <w:rFonts w:eastAsia="Times New Roman" w:cs="Times New Roman"/>
          <w:lang w:eastAsia="pl-PL"/>
        </w:rPr>
        <w:t xml:space="preserve"> r.</w:t>
      </w:r>
    </w:p>
    <w:p w:rsidR="002F6FE0" w:rsidRPr="009D2E16" w:rsidRDefault="002F6FE0" w:rsidP="008E1C22">
      <w:pPr>
        <w:pStyle w:val="Standard"/>
        <w:numPr>
          <w:ilvl w:val="0"/>
          <w:numId w:val="2"/>
        </w:numPr>
        <w:spacing w:before="28" w:after="28"/>
        <w:jc w:val="both"/>
        <w:rPr>
          <w:rFonts w:cs="Times New Roman"/>
        </w:rPr>
      </w:pPr>
      <w:r w:rsidRPr="009D2E16">
        <w:rPr>
          <w:rFonts w:eastAsia="Times New Roman" w:cs="Times New Roman"/>
          <w:lang w:eastAsia="pl-PL"/>
        </w:rPr>
        <w:t xml:space="preserve">Ogłoszenie zamieszczono na stronie internetowej Gminy </w:t>
      </w:r>
      <w:hyperlink r:id="rId8"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085B9A">
        <w:rPr>
          <w:rFonts w:eastAsia="Times New Roman" w:cs="Times New Roman"/>
          <w:lang w:eastAsia="pl-PL"/>
        </w:rPr>
        <w:t>11.04.</w:t>
      </w:r>
      <w:r w:rsidR="00C20BD8">
        <w:rPr>
          <w:rFonts w:eastAsia="Times New Roman" w:cs="Times New Roman"/>
          <w:lang w:eastAsia="pl-PL"/>
        </w:rPr>
        <w:t xml:space="preserve">2016 </w:t>
      </w:r>
      <w:r w:rsidR="00DA2F29" w:rsidRPr="009D2E16">
        <w:rPr>
          <w:rFonts w:eastAsia="Times New Roman" w:cs="Times New Roman"/>
          <w:lang w:eastAsia="pl-PL"/>
        </w:rPr>
        <w:t xml:space="preserve">r. </w:t>
      </w:r>
    </w:p>
    <w:p w:rsidR="002F6FE0" w:rsidRPr="009D2E16" w:rsidRDefault="002F6FE0" w:rsidP="008E1C22">
      <w:pPr>
        <w:pStyle w:val="Standard"/>
        <w:numPr>
          <w:ilvl w:val="0"/>
          <w:numId w:val="2"/>
        </w:numPr>
        <w:spacing w:before="28" w:after="28"/>
        <w:jc w:val="both"/>
        <w:rPr>
          <w:rFonts w:cs="Times New Roman"/>
        </w:rPr>
      </w:pPr>
      <w:r w:rsidRPr="009D2E16">
        <w:rPr>
          <w:rFonts w:eastAsia="Times New Roman" w:cs="Times New Roman"/>
          <w:lang w:eastAsia="pl-PL"/>
        </w:rPr>
        <w:t xml:space="preserve">SIWZ wraz z załącznikami zamieszczono na stronie internetowej Gminy </w:t>
      </w:r>
      <w:hyperlink r:id="rId9"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085B9A">
        <w:rPr>
          <w:rFonts w:eastAsia="Times New Roman" w:cs="Times New Roman"/>
          <w:lang w:eastAsia="pl-PL"/>
        </w:rPr>
        <w:t>11.04.</w:t>
      </w:r>
      <w:r w:rsidR="00C20BD8">
        <w:rPr>
          <w:rFonts w:eastAsia="Times New Roman" w:cs="Times New Roman"/>
          <w:lang w:eastAsia="pl-PL"/>
        </w:rPr>
        <w:t xml:space="preserve">2016 </w:t>
      </w:r>
      <w:r w:rsidR="00DA2F29" w:rsidRPr="009D2E16">
        <w:rPr>
          <w:rFonts w:eastAsia="Times New Roman" w:cs="Times New Roman"/>
          <w:lang w:eastAsia="pl-PL"/>
        </w:rPr>
        <w:t>r.</w:t>
      </w:r>
    </w:p>
    <w:p w:rsidR="002F6FE0" w:rsidRPr="009D2E16" w:rsidRDefault="002F6FE0"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C20BD8" w:rsidP="006F52C0">
      <w:pPr>
        <w:pStyle w:val="Standard"/>
        <w:spacing w:before="28" w:after="28"/>
        <w:ind w:left="6381" w:hanging="6381"/>
        <w:jc w:val="center"/>
        <w:rPr>
          <w:rFonts w:eastAsia="Times New Roman" w:cs="Times New Roman"/>
          <w:lang w:eastAsia="pl-PL"/>
        </w:rPr>
      </w:pPr>
      <w:r w:rsidRPr="00C20BD8">
        <w:rPr>
          <w:noProof/>
          <w:lang w:eastAsia="pl-PL" w:bidi="ar-SA"/>
        </w:rPr>
        <w:drawing>
          <wp:inline distT="0" distB="0" distL="0" distR="0">
            <wp:extent cx="3657600" cy="2114550"/>
            <wp:effectExtent l="0" t="0" r="0" b="0"/>
            <wp:docPr id="1" name="Obraz 1" descr="C:\Users\Wolf\Documents\Moje dokumenty- 2016\Małopolskie remizy2016\Zdjęc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ocuments\Moje dokumenty- 2016\Małopolskie remizy2016\Zdjęcia\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8520" cy="2115082"/>
                    </a:xfrm>
                    <a:prstGeom prst="rect">
                      <a:avLst/>
                    </a:prstGeom>
                    <a:noFill/>
                    <a:ln>
                      <a:noFill/>
                    </a:ln>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Pr="009D2E16" w:rsidRDefault="002D2516" w:rsidP="006F52C0">
      <w:pPr>
        <w:pStyle w:val="Standard"/>
        <w:spacing w:before="28" w:after="28"/>
        <w:jc w:val="center"/>
        <w:rPr>
          <w:rFonts w:cs="Times New Roman"/>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00C20BD8">
        <w:rPr>
          <w:rFonts w:eastAsia="Times New Roman" w:cs="Times New Roman"/>
          <w:b/>
          <w:bCs/>
          <w:lang w:eastAsia="pl-PL"/>
        </w:rPr>
        <w:t>kwiecień 2016</w:t>
      </w:r>
      <w:r w:rsidR="002F6FE0" w:rsidRPr="009D2E16">
        <w:rPr>
          <w:rFonts w:eastAsia="Times New Roman" w:cs="Times New Roman"/>
          <w:b/>
          <w:bCs/>
          <w:lang w:eastAsia="pl-PL"/>
        </w:rPr>
        <w:t>r</w:t>
      </w: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w:t>
      </w:r>
      <w:r w:rsidR="00C20BD8">
        <w:rPr>
          <w:rFonts w:eastAsia="Times New Roman" w:cs="Times New Roman"/>
          <w:bCs/>
          <w:lang w:eastAsia="pl-PL"/>
        </w:rPr>
        <w:t xml:space="preserve"> 225 </w:t>
      </w:r>
      <w:r w:rsidRPr="009D2E16">
        <w:rPr>
          <w:rFonts w:eastAsia="Times New Roman" w:cs="Times New Roman"/>
          <w:bCs/>
          <w:lang w:eastAsia="pl-PL"/>
        </w:rPr>
        <w:t>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w:t>
      </w:r>
      <w:r w:rsidR="00872CD3">
        <w:rPr>
          <w:rFonts w:eastAsia="Times New Roman" w:cs="Times New Roman"/>
          <w:bCs/>
          <w:lang w:eastAsia="pl-PL"/>
        </w:rPr>
        <w:t>8</w:t>
      </w:r>
      <w:r w:rsidRPr="009D2E16">
        <w:rPr>
          <w:rFonts w:eastAsia="Times New Roman" w:cs="Times New Roman"/>
          <w:bCs/>
          <w:lang w:eastAsia="pl-PL"/>
        </w:rPr>
        <w:t xml:space="preserve"> grudnia 201</w:t>
      </w:r>
      <w:r w:rsidR="00872CD3">
        <w:rPr>
          <w:rFonts w:eastAsia="Times New Roman" w:cs="Times New Roman"/>
          <w:bCs/>
          <w:lang w:eastAsia="pl-PL"/>
        </w:rPr>
        <w:t>5</w:t>
      </w:r>
      <w:r w:rsidRPr="009D2E16">
        <w:rPr>
          <w:rFonts w:eastAsia="Times New Roman" w:cs="Times New Roman"/>
          <w:bCs/>
          <w:lang w:eastAsia="pl-PL"/>
        </w:rPr>
        <w:t xml:space="preserve">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7C21F5" w:rsidP="006F52C0">
      <w:pPr>
        <w:pStyle w:val="Standard"/>
        <w:spacing w:before="28" w:after="28"/>
        <w:rPr>
          <w:rFonts w:eastAsia="Times New Roman" w:cs="Times New Roman"/>
          <w:bCs/>
          <w:lang w:eastAsia="pl-PL"/>
        </w:rPr>
      </w:pPr>
      <w:hyperlink r:id="rId11"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2"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3"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4"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w:t>
      </w:r>
      <w:r w:rsidR="00F67254">
        <w:rPr>
          <w:rFonts w:eastAsia="Times New Roman" w:cs="Times New Roman"/>
          <w:lang w:eastAsia="pl-PL"/>
        </w:rPr>
        <w:br/>
      </w:r>
      <w:r w:rsidRPr="009D2E16">
        <w:rPr>
          <w:rFonts w:eastAsia="Times New Roman" w:cs="Times New Roman"/>
          <w:lang w:eastAsia="pl-PL"/>
        </w:rPr>
        <w:t xml:space="preserve">z treści złożonego wniosku, jednak nie później niż na dwa dni przed upływem terminu składania </w:t>
      </w:r>
      <w:r w:rsidRPr="009D2E16">
        <w:rPr>
          <w:rFonts w:eastAsia="Times New Roman" w:cs="Times New Roman"/>
          <w:lang w:eastAsia="pl-PL"/>
        </w:rPr>
        <w:lastRenderedPageBreak/>
        <w:t xml:space="preserve">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8E1C22">
        <w:rPr>
          <w:rFonts w:eastAsia="Times New Roman" w:cs="Times New Roman"/>
          <w:lang w:eastAsia="pl-PL"/>
        </w:rPr>
        <w:t>3</w:t>
      </w:r>
      <w:r w:rsidRPr="009D2E16">
        <w:rPr>
          <w:rFonts w:eastAsia="Times New Roman" w:cs="Times New Roman"/>
          <w:lang w:eastAsia="pl-PL"/>
        </w:rPr>
        <w:t>.201</w:t>
      </w:r>
      <w:r w:rsidR="00B148CD">
        <w:rPr>
          <w:rFonts w:eastAsia="Times New Roman" w:cs="Times New Roman"/>
          <w:lang w:eastAsia="pl-PL"/>
        </w:rPr>
        <w:t>6</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6F52C0">
      <w:pPr>
        <w:pStyle w:val="Standard"/>
        <w:spacing w:before="28" w:after="28"/>
        <w:ind w:right="-108"/>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8E1C22" w:rsidRPr="008E1C22">
        <w:rPr>
          <w:rFonts w:cs="Times New Roman"/>
        </w:rPr>
        <w:t>45000000-7, 45210000-2, 45320000-6</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B03DF9" w:rsidRPr="00B03DF9" w:rsidRDefault="002F6FE0" w:rsidP="00B03DF9">
      <w:pPr>
        <w:pStyle w:val="Standard"/>
        <w:spacing w:before="28" w:after="28"/>
        <w:jc w:val="both"/>
        <w:rPr>
          <w:rFonts w:cs="Times New Roman"/>
          <w:b/>
        </w:rPr>
      </w:pPr>
      <w:r w:rsidRPr="009D2E16">
        <w:rPr>
          <w:rFonts w:cs="Times New Roman"/>
        </w:rPr>
        <w:t xml:space="preserve">Przedmiotem zamówienia jest </w:t>
      </w:r>
      <w:r w:rsidR="008E1C22">
        <w:rPr>
          <w:rFonts w:cs="Times New Roman"/>
        </w:rPr>
        <w:t xml:space="preserve">zadanie: </w:t>
      </w:r>
      <w:r w:rsidR="008E1C22" w:rsidRPr="008E1C22">
        <w:rPr>
          <w:rFonts w:cs="Times New Roman"/>
          <w:b/>
        </w:rPr>
        <w:t xml:space="preserve">Roboty budowlane przy budynku remizy OSP </w:t>
      </w:r>
      <w:r w:rsidR="008E1C22">
        <w:rPr>
          <w:rFonts w:cs="Times New Roman"/>
          <w:b/>
        </w:rPr>
        <w:br/>
      </w:r>
      <w:r w:rsidR="008E1C22" w:rsidRPr="008E1C22">
        <w:rPr>
          <w:rFonts w:cs="Times New Roman"/>
          <w:b/>
        </w:rPr>
        <w:t xml:space="preserve">w </w:t>
      </w:r>
      <w:r w:rsidR="00B148CD">
        <w:rPr>
          <w:rFonts w:cs="Times New Roman"/>
          <w:b/>
        </w:rPr>
        <w:t>Trzebienicach</w:t>
      </w:r>
      <w:r w:rsidR="008E1C22">
        <w:rPr>
          <w:rFonts w:cs="Times New Roman"/>
          <w:b/>
        </w:rPr>
        <w:t>.</w:t>
      </w:r>
    </w:p>
    <w:p w:rsidR="00836459" w:rsidRPr="00836459" w:rsidRDefault="00836459" w:rsidP="006F52C0">
      <w:pPr>
        <w:pStyle w:val="Standard"/>
        <w:spacing w:before="28" w:after="28"/>
        <w:jc w:val="both"/>
        <w:rPr>
          <w:rFonts w:cs="Times New Roman"/>
          <w:b/>
        </w:rPr>
      </w:pPr>
    </w:p>
    <w:p w:rsidR="002F6FE0" w:rsidRDefault="00836459" w:rsidP="006F52C0">
      <w:pPr>
        <w:pStyle w:val="Standard"/>
        <w:spacing w:before="28" w:after="28"/>
        <w:rPr>
          <w:rFonts w:cs="Times New Roman"/>
          <w:b/>
        </w:rPr>
      </w:pPr>
      <w:r>
        <w:rPr>
          <w:rFonts w:cs="Times New Roman"/>
          <w:b/>
        </w:rPr>
        <w:t xml:space="preserve">2. </w:t>
      </w:r>
      <w:r w:rsidR="002F6FE0" w:rsidRPr="009D2E16">
        <w:rPr>
          <w:rFonts w:cs="Times New Roman"/>
          <w:b/>
        </w:rPr>
        <w:t xml:space="preserve">Opis </w:t>
      </w:r>
      <w:r>
        <w:rPr>
          <w:rFonts w:cs="Times New Roman"/>
          <w:b/>
        </w:rPr>
        <w:t xml:space="preserve">i zakres </w:t>
      </w:r>
      <w:r w:rsidR="002F6FE0" w:rsidRPr="009D2E16">
        <w:rPr>
          <w:rFonts w:cs="Times New Roman"/>
          <w:b/>
        </w:rPr>
        <w:t>przedmiotu zamówienia</w:t>
      </w:r>
    </w:p>
    <w:p w:rsidR="008E1C22" w:rsidRPr="008E1C22" w:rsidRDefault="008E1C22" w:rsidP="008E1C22">
      <w:pPr>
        <w:pStyle w:val="Textbody"/>
        <w:numPr>
          <w:ilvl w:val="1"/>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Roboty ogólnobudowlane z</w:t>
      </w:r>
      <w:r w:rsidR="00B148CD">
        <w:rPr>
          <w:rFonts w:eastAsia="Lucida Sans Unicode"/>
          <w:b w:val="0"/>
          <w:sz w:val="24"/>
          <w:szCs w:val="24"/>
          <w:lang w:eastAsia="zh-CN" w:bidi="hi-IN"/>
        </w:rPr>
        <w:t>ewnętrzne (opaska wokół budynku, remont wejścia głównego</w:t>
      </w:r>
      <w:r w:rsidRPr="008E1C22">
        <w:rPr>
          <w:rFonts w:eastAsia="Lucida Sans Unicode"/>
          <w:b w:val="0"/>
          <w:sz w:val="24"/>
          <w:szCs w:val="24"/>
          <w:lang w:eastAsia="zh-CN" w:bidi="hi-IN"/>
        </w:rPr>
        <w:t>)</w:t>
      </w:r>
    </w:p>
    <w:p w:rsidR="008E1C22" w:rsidRPr="008E1C22" w:rsidRDefault="008E1C22" w:rsidP="008E1C22">
      <w:pPr>
        <w:pStyle w:val="Textbody"/>
        <w:numPr>
          <w:ilvl w:val="1"/>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lastRenderedPageBreak/>
        <w:t xml:space="preserve">Wymiana stolarki okiennej i drzwiowej </w:t>
      </w:r>
    </w:p>
    <w:p w:rsidR="008E1C22" w:rsidRPr="008E1C22" w:rsidRDefault="008E1C22" w:rsidP="008E1C22">
      <w:pPr>
        <w:pStyle w:val="Textbody"/>
        <w:numPr>
          <w:ilvl w:val="0"/>
          <w:numId w:val="146"/>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Termomodernizacja budynku remizy (ściany zewnętrzne i strop)</w:t>
      </w:r>
    </w:p>
    <w:p w:rsidR="008E1C22" w:rsidRPr="008E1C22" w:rsidRDefault="008E1C22" w:rsidP="008E1C22">
      <w:pPr>
        <w:pStyle w:val="Textbody"/>
        <w:numPr>
          <w:ilvl w:val="0"/>
          <w:numId w:val="146"/>
        </w:numPr>
        <w:spacing w:before="28" w:after="28" w:line="240" w:lineRule="auto"/>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Wymiana pokrycia dachowego</w:t>
      </w:r>
      <w:r w:rsidR="00B148CD">
        <w:rPr>
          <w:rFonts w:eastAsia="Lucida Sans Unicode"/>
          <w:b w:val="0"/>
          <w:sz w:val="24"/>
          <w:szCs w:val="24"/>
          <w:lang w:eastAsia="zh-CN" w:bidi="hi-IN"/>
        </w:rPr>
        <w:t xml:space="preserve"> z odgromem.</w:t>
      </w:r>
    </w:p>
    <w:p w:rsidR="002F6FE0" w:rsidRPr="009D2E16" w:rsidRDefault="002F6FE0" w:rsidP="008E1C22">
      <w:pPr>
        <w:pStyle w:val="Textbody"/>
        <w:spacing w:before="28" w:after="28" w:line="240" w:lineRule="auto"/>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6F52C0">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 terminie 14 dni od daty przedłożenia projektu umowy</w:t>
      </w:r>
      <w:r w:rsidR="00B148CD">
        <w:rPr>
          <w:rFonts w:cs="Times New Roman"/>
        </w:rPr>
        <w:br/>
        <w:t xml:space="preserve">o </w:t>
      </w:r>
      <w:r w:rsidRPr="009D2E16">
        <w:rPr>
          <w:rFonts w:cs="Times New Roman"/>
        </w:rPr>
        <w:t xml:space="preserve"> podwykonawstwo będzie miał prawo wniesienia w formie pisemnej zastrzeżeń lub </w:t>
      </w:r>
      <w:r w:rsidRPr="009D2E16">
        <w:rPr>
          <w:rFonts w:cs="Times New Roman"/>
        </w:rPr>
        <w:lastRenderedPageBreak/>
        <w:t xml:space="preserve">sprzeciwu do projektu umowy. Prawo to dotyczy również zawartych umów </w:t>
      </w:r>
      <w:r w:rsidR="00B148CD">
        <w:rPr>
          <w:rFonts w:cs="Times New Roman"/>
        </w:rPr>
        <w:br/>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 xml:space="preserve">Zakończenie: </w:t>
      </w:r>
      <w:r w:rsidR="00B148CD">
        <w:rPr>
          <w:rFonts w:cs="Times New Roman"/>
          <w:b/>
        </w:rPr>
        <w:t>1</w:t>
      </w:r>
      <w:r w:rsidR="008D5FEA">
        <w:rPr>
          <w:rFonts w:cs="Times New Roman"/>
          <w:b/>
        </w:rPr>
        <w:t>5</w:t>
      </w:r>
      <w:r w:rsidR="00C853A4" w:rsidRPr="00FC5BDE">
        <w:rPr>
          <w:rFonts w:cs="Times New Roman"/>
          <w:b/>
        </w:rPr>
        <w:t>.</w:t>
      </w:r>
      <w:r w:rsidR="00B148CD">
        <w:rPr>
          <w:rFonts w:cs="Times New Roman"/>
          <w:b/>
        </w:rPr>
        <w:t>09.2016</w:t>
      </w:r>
      <w:r w:rsidR="00C853A4" w:rsidRPr="00FC5BDE">
        <w:rPr>
          <w:rFonts w:cs="Times New Roman"/>
          <w:b/>
        </w:rPr>
        <w:t xml:space="preserve">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lastRenderedPageBreak/>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B67CB9">
        <w:rPr>
          <w:rFonts w:eastAsia="Times New Roman" w:cs="Times New Roman"/>
          <w:b/>
          <w:lang w:eastAsia="pl-PL" w:bidi="ar-SA"/>
        </w:rPr>
        <w:t>1</w:t>
      </w:r>
      <w:r w:rsidRPr="00504827">
        <w:rPr>
          <w:rFonts w:eastAsia="Times New Roman" w:cs="Times New Roman"/>
          <w:b/>
          <w:lang w:eastAsia="pl-PL" w:bidi="ar-SA"/>
        </w:rPr>
        <w:t xml:space="preserve"> robot</w:t>
      </w:r>
      <w:r w:rsidR="00B67CB9">
        <w:rPr>
          <w:rFonts w:eastAsia="Times New Roman" w:cs="Times New Roman"/>
          <w:b/>
          <w:lang w:eastAsia="pl-PL" w:bidi="ar-SA"/>
        </w:rPr>
        <w:t>ę</w:t>
      </w:r>
      <w:r w:rsidRPr="00504827">
        <w:rPr>
          <w:rFonts w:eastAsia="Times New Roman" w:cs="Times New Roman"/>
          <w:b/>
          <w:lang w:eastAsia="pl-PL" w:bidi="ar-SA"/>
        </w:rPr>
        <w:t xml:space="preserve"> budowlan</w:t>
      </w:r>
      <w:r w:rsidR="00B67CB9">
        <w:rPr>
          <w:rFonts w:eastAsia="Times New Roman" w:cs="Times New Roman"/>
          <w:b/>
          <w:lang w:eastAsia="pl-PL" w:bidi="ar-SA"/>
        </w:rPr>
        <w:t>ą</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00D51500">
        <w:rPr>
          <w:rFonts w:eastAsia="Times New Roman" w:cs="Times New Roman"/>
          <w:lang w:eastAsia="pl-PL" w:bidi="ar-SA"/>
        </w:rPr>
        <w:t>olegającą</w:t>
      </w:r>
      <w:r w:rsidRPr="009D2E16">
        <w:rPr>
          <w:rFonts w:eastAsia="Times New Roman" w:cs="Times New Roman"/>
          <w:lang w:eastAsia="pl-PL" w:bidi="ar-SA"/>
        </w:rPr>
        <w:t xml:space="preserv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w:t>
      </w:r>
      <w:r w:rsidR="008D5FEA">
        <w:rPr>
          <w:rFonts w:eastAsia="Times New Roman" w:cs="Times New Roman"/>
          <w:lang w:eastAsia="pl-PL" w:bidi="ar-SA"/>
        </w:rPr>
        <w:t>budynku</w:t>
      </w:r>
      <w:r w:rsidRPr="009D2E16">
        <w:rPr>
          <w:rFonts w:eastAsia="Times New Roman" w:cs="Times New Roman"/>
          <w:lang w:eastAsia="pl-PL" w:bidi="ar-SA"/>
        </w:rPr>
        <w:t xml:space="preserve"> </w:t>
      </w:r>
      <w:r w:rsidR="008D5FEA">
        <w:rPr>
          <w:rFonts w:eastAsia="Times New Roman" w:cs="Times New Roman"/>
          <w:lang w:eastAsia="pl-PL" w:bidi="ar-SA"/>
        </w:rPr>
        <w:t xml:space="preserve">(z termomodernizacją) </w:t>
      </w:r>
      <w:r w:rsidRPr="009D2E16">
        <w:rPr>
          <w:rFonts w:eastAsia="Times New Roman" w:cs="Times New Roman"/>
          <w:lang w:eastAsia="pl-PL" w:bidi="ar-SA"/>
        </w:rPr>
        <w:t xml:space="preserve">o wartości robót brutto co najmniej </w:t>
      </w:r>
      <w:r w:rsidR="008D5FEA">
        <w:rPr>
          <w:rFonts w:eastAsia="Times New Roman" w:cs="Times New Roman"/>
          <w:b/>
          <w:lang w:eastAsia="pl-PL" w:bidi="ar-SA"/>
        </w:rPr>
        <w:t>2</w:t>
      </w:r>
      <w:r w:rsidR="00B148CD">
        <w:rPr>
          <w:rFonts w:eastAsia="Times New Roman" w:cs="Times New Roman"/>
          <w:b/>
          <w:lang w:eastAsia="pl-PL" w:bidi="ar-SA"/>
        </w:rPr>
        <w:t>5</w:t>
      </w:r>
      <w:r w:rsidR="002178BD">
        <w:rPr>
          <w:rFonts w:eastAsia="Times New Roman" w:cs="Times New Roman"/>
          <w:b/>
          <w:lang w:eastAsia="pl-PL" w:bidi="ar-SA"/>
        </w:rPr>
        <w:t>0</w:t>
      </w:r>
      <w:r w:rsidR="00B67CB9">
        <w:rPr>
          <w:rFonts w:eastAsia="Times New Roman" w:cs="Times New Roman"/>
          <w:b/>
          <w:lang w:eastAsia="pl-PL" w:bidi="ar-SA"/>
        </w:rPr>
        <w:t>.000,00 zł</w:t>
      </w:r>
      <w:r w:rsidRPr="00FC5BDE">
        <w:rPr>
          <w:rFonts w:eastAsia="Times New Roman" w:cs="Times New Roman"/>
          <w:b/>
          <w:lang w:eastAsia="pl-PL" w:bidi="ar-SA"/>
        </w:rPr>
        <w:t>.</w:t>
      </w:r>
    </w:p>
    <w:p w:rsidR="000C5873" w:rsidRDefault="000C5873" w:rsidP="000C5873">
      <w:pPr>
        <w:pStyle w:val="Standard"/>
        <w:jc w:val="both"/>
        <w:rPr>
          <w:rFonts w:cs="Times New Roman"/>
        </w:rPr>
      </w:pPr>
    </w:p>
    <w:p w:rsidR="000C5873" w:rsidRPr="009D2E16" w:rsidRDefault="000C5873" w:rsidP="000C5873">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504827" w:rsidRDefault="00ED75C7" w:rsidP="008D5FEA">
      <w:pPr>
        <w:pStyle w:val="Standard"/>
        <w:jc w:val="both"/>
        <w:rPr>
          <w:rFonts w:cs="Times New Roman"/>
        </w:rPr>
      </w:pPr>
      <w:r w:rsidRPr="009D2E16">
        <w:rPr>
          <w:rFonts w:cs="Times New Roman"/>
          <w:lang w:eastAsia="pl-PL"/>
        </w:rPr>
        <w:t>O udzielenie zamówienia mogą ubiegać się Wykonawcy, którzy dysponują lub będą dysponować osobami zdolnymi do wykonania zamówienia tj</w:t>
      </w:r>
      <w:r w:rsidR="008D5FEA">
        <w:rPr>
          <w:rFonts w:cs="Times New Roman"/>
          <w:lang w:eastAsia="pl-PL"/>
        </w:rPr>
        <w:t xml:space="preserve">. </w:t>
      </w:r>
      <w:r w:rsidR="008D5FEA" w:rsidRPr="008D5FEA">
        <w:rPr>
          <w:rFonts w:cs="Times New Roman"/>
          <w:lang w:eastAsia="pl-PL"/>
        </w:rPr>
        <w:t>przynajmniej jedną osobą posiadającą uprawnienia budowlane do kierowania robotami budowlanymi o specjalności konstrukcyjno budowlanej wraz z przynależnością do Okręgowej Izby Inżynierów Budownictwa. Zamawiający dopuszcza możliwość uznania uprawnień wynikających z innych niż krajowe przepisów np. treści dyrektyw, zawartych umów międzynarodowych i innych przepisów, które potwierdzą spełnianie powyższego warunku</w:t>
      </w: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lastRenderedPageBreak/>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t>
      </w:r>
      <w:r w:rsidRPr="009D2E16">
        <w:rPr>
          <w:rFonts w:cs="Times New Roman"/>
        </w:rPr>
        <w:lastRenderedPageBreak/>
        <w:t>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2F6FE0" w:rsidRDefault="003D1799" w:rsidP="006F52C0">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 xml:space="preserve">  </w:t>
      </w:r>
      <w:r w:rsidR="002F6FE0" w:rsidRPr="009D2E16">
        <w:rPr>
          <w:rFonts w:cs="Times New Roman"/>
        </w:rPr>
        <w:t>Kopia dowodu wniesienia wadium.</w:t>
      </w:r>
    </w:p>
    <w:p w:rsidR="00FC5BDE" w:rsidRPr="00FC5BDE" w:rsidRDefault="00FC5BDE"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Kosztorys ofe</w:t>
      </w:r>
      <w:r w:rsidR="00364E12">
        <w:rPr>
          <w:rFonts w:cs="Times New Roman"/>
        </w:rPr>
        <w:t>rtowy opracowany</w:t>
      </w:r>
      <w:r w:rsidRPr="00FC5BDE">
        <w:rPr>
          <w:rFonts w:cs="Times New Roman"/>
        </w:rPr>
        <w:t xml:space="preserve"> na podstawie</w:t>
      </w:r>
      <w:r>
        <w:rPr>
          <w:rFonts w:cs="Times New Roman"/>
        </w:rPr>
        <w:t xml:space="preserve"> </w:t>
      </w:r>
      <w:r w:rsidR="00364E12">
        <w:rPr>
          <w:rFonts w:cs="Times New Roman"/>
        </w:rPr>
        <w:t xml:space="preserve">przedmiaru </w:t>
      </w:r>
      <w:r w:rsidRPr="00FC5BDE">
        <w:rPr>
          <w:rFonts w:cs="Times New Roman"/>
        </w:rPr>
        <w:t>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B148CD">
        <w:rPr>
          <w:rFonts w:cs="Times New Roman"/>
          <w:b/>
        </w:rPr>
        <w:t>5</w:t>
      </w:r>
      <w:r w:rsidRPr="009D2E16">
        <w:rPr>
          <w:rFonts w:cs="Times New Roman"/>
          <w:b/>
        </w:rPr>
        <w:t xml:space="preserve">.000,00, </w:t>
      </w:r>
      <w:r w:rsidRPr="003D1799">
        <w:rPr>
          <w:rFonts w:cs="Times New Roman"/>
          <w:i/>
        </w:rPr>
        <w:t xml:space="preserve">słownie: </w:t>
      </w:r>
      <w:r w:rsidR="00B148CD">
        <w:rPr>
          <w:rFonts w:cs="Times New Roman"/>
          <w:i/>
        </w:rPr>
        <w:t>pięć</w:t>
      </w:r>
      <w:r w:rsidR="003A110E">
        <w:rPr>
          <w:rFonts w:cs="Times New Roman"/>
          <w:i/>
        </w:rPr>
        <w:t xml:space="preserve"> tysi</w:t>
      </w:r>
      <w:r w:rsidR="00B148CD">
        <w:rPr>
          <w:rFonts w:cs="Times New Roman"/>
          <w:i/>
        </w:rPr>
        <w:t>ęcy</w:t>
      </w:r>
      <w:r w:rsidRPr="003D1799">
        <w:rPr>
          <w:rFonts w:cs="Times New Roman"/>
          <w:i/>
        </w:rPr>
        <w:t xml:space="preserve">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lastRenderedPageBreak/>
        <w:t>z dopiskiem na blankiecie przelewu: wadium na zabezpieczenie oferty przetargowej z</w:t>
      </w:r>
      <w:r w:rsidR="003D1799">
        <w:rPr>
          <w:rFonts w:cs="Times New Roman"/>
        </w:rPr>
        <w:t xml:space="preserve">adania: </w:t>
      </w:r>
      <w:r w:rsidR="003A110E" w:rsidRPr="001D6D94">
        <w:rPr>
          <w:b/>
          <w:i/>
        </w:rPr>
        <w:t xml:space="preserve">Roboty budowlane przy budynku remizy OSP w </w:t>
      </w:r>
      <w:r w:rsidR="00535011">
        <w:rPr>
          <w:b/>
          <w:i/>
        </w:rPr>
        <w:t>Trzebienicach</w:t>
      </w:r>
      <w:r w:rsidR="002178BD" w:rsidRPr="00E10BAE">
        <w:rPr>
          <w:rFonts w:eastAsia="Times New Roman" w:cs="Times New Roman"/>
          <w:bCs/>
          <w:lang w:eastAsia="pl-PL"/>
        </w:rPr>
        <w:t>.</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lastRenderedPageBreak/>
        <w:t>Wniesienie odwołania po upływie terminu składania ofert zawiesza bieg terminu związania ofertą do czasu rozstrzygnięcia odwołania.</w:t>
      </w:r>
    </w:p>
    <w:p w:rsidR="002F6FE0" w:rsidRDefault="002F6FE0" w:rsidP="006F52C0">
      <w:pPr>
        <w:pStyle w:val="Standard"/>
        <w:ind w:left="284" w:hanging="284"/>
        <w:jc w:val="both"/>
        <w:rPr>
          <w:rFonts w:cs="Times New Roman"/>
        </w:rPr>
      </w:pPr>
    </w:p>
    <w:p w:rsidR="00535011" w:rsidRPr="009D2E16" w:rsidRDefault="00535011"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385" w:type="dxa"/>
        <w:jc w:val="center"/>
        <w:tblLayout w:type="fixed"/>
        <w:tblCellMar>
          <w:left w:w="10" w:type="dxa"/>
          <w:right w:w="10" w:type="dxa"/>
        </w:tblCellMar>
        <w:tblLook w:val="04A0" w:firstRow="1" w:lastRow="0" w:firstColumn="1" w:lastColumn="0" w:noHBand="0" w:noVBand="1"/>
      </w:tblPr>
      <w:tblGrid>
        <w:gridCol w:w="8385"/>
      </w:tblGrid>
      <w:tr w:rsidR="002F6FE0" w:rsidRPr="009D2E16" w:rsidTr="007D1CD8">
        <w:trPr>
          <w:trHeight w:val="2591"/>
          <w:jc w:val="center"/>
        </w:trPr>
        <w:tc>
          <w:tcPr>
            <w:tcW w:w="8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2F6FE0" w:rsidRDefault="002F6FE0" w:rsidP="006F52C0">
            <w:pPr>
              <w:pStyle w:val="Textbody"/>
              <w:spacing w:line="240" w:lineRule="auto"/>
              <w:rPr>
                <w:bCs/>
                <w:i w:val="0"/>
                <w:sz w:val="24"/>
                <w:szCs w:val="24"/>
                <w:lang w:eastAsia="pl-PL"/>
              </w:rPr>
            </w:pPr>
            <w:r w:rsidRPr="009D2E16">
              <w:rPr>
                <w:b w:val="0"/>
                <w:i w:val="0"/>
                <w:sz w:val="24"/>
                <w:szCs w:val="24"/>
              </w:rPr>
              <w:t> </w:t>
            </w:r>
            <w:r w:rsidR="003A110E" w:rsidRPr="001D6D94">
              <w:rPr>
                <w:b w:val="0"/>
                <w:i w:val="0"/>
              </w:rPr>
              <w:t xml:space="preserve">Roboty budowlane przy budynku remizy OSP w </w:t>
            </w:r>
            <w:r w:rsidR="00535011">
              <w:rPr>
                <w:b w:val="0"/>
                <w:i w:val="0"/>
              </w:rPr>
              <w:t>Trzebienicach</w:t>
            </w:r>
            <w:r w:rsidR="00E975F8" w:rsidRPr="00E975F8">
              <w:rPr>
                <w:bCs/>
                <w:i w:val="0"/>
                <w:sz w:val="24"/>
                <w:szCs w:val="24"/>
                <w:lang w:eastAsia="pl-PL"/>
              </w:rPr>
              <w:t>.</w:t>
            </w:r>
          </w:p>
          <w:p w:rsidR="00E975F8" w:rsidRPr="00163709" w:rsidRDefault="00E975F8" w:rsidP="006F52C0">
            <w:pPr>
              <w:pStyle w:val="Textbody"/>
              <w:spacing w:line="240" w:lineRule="auto"/>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535011">
              <w:rPr>
                <w:b w:val="0"/>
                <w:i w:val="0"/>
                <w:sz w:val="24"/>
                <w:szCs w:val="24"/>
              </w:rPr>
              <w:t>28</w:t>
            </w:r>
            <w:r w:rsidR="00D74733" w:rsidRPr="009D2E16">
              <w:rPr>
                <w:b w:val="0"/>
                <w:i w:val="0"/>
                <w:sz w:val="24"/>
                <w:szCs w:val="24"/>
              </w:rPr>
              <w:t>.0</w:t>
            </w:r>
            <w:r w:rsidR="00535011">
              <w:rPr>
                <w:b w:val="0"/>
                <w:i w:val="0"/>
                <w:sz w:val="24"/>
                <w:szCs w:val="24"/>
              </w:rPr>
              <w:t>4</w:t>
            </w:r>
            <w:r w:rsidR="00D74733" w:rsidRPr="009D2E16">
              <w:rPr>
                <w:b w:val="0"/>
                <w:i w:val="0"/>
                <w:sz w:val="24"/>
                <w:szCs w:val="24"/>
              </w:rPr>
              <w:t>.201</w:t>
            </w:r>
            <w:r w:rsidR="00535011">
              <w:rPr>
                <w:b w:val="0"/>
                <w:i w:val="0"/>
                <w:sz w:val="24"/>
                <w:szCs w:val="24"/>
              </w:rPr>
              <w:t>6</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E10BAE" w:rsidRDefault="002F6FE0" w:rsidP="006F52C0">
            <w:pPr>
              <w:pStyle w:val="Textbody"/>
              <w:spacing w:line="240" w:lineRule="auto"/>
              <w:rPr>
                <w:b w:val="0"/>
                <w:i w:val="0"/>
                <w:sz w:val="24"/>
                <w:szCs w:val="24"/>
              </w:rPr>
            </w:pPr>
            <w:r w:rsidRPr="009D2E16">
              <w:rPr>
                <w:b w:val="0"/>
                <w:i w:val="0"/>
                <w:sz w:val="24"/>
                <w:szCs w:val="24"/>
              </w:rPr>
              <w:t xml:space="preserve">                                                                                                </w:t>
            </w:r>
          </w:p>
          <w:p w:rsidR="002F6FE0" w:rsidRPr="009D2E16" w:rsidRDefault="002F6FE0" w:rsidP="00E10BAE">
            <w:pPr>
              <w:pStyle w:val="Textbody"/>
              <w:spacing w:line="240" w:lineRule="auto"/>
              <w:jc w:val="right"/>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 xml:space="preserve">jeżeli według Wykonawcy oferta będzie zawierała informacje objęte tajemnicą jego przedsiębiorstwa w rozumieniu przepisów ustawy z 16 kwietnia 1993 r. o zwalczaniu </w:t>
      </w:r>
      <w:r w:rsidRPr="009D2E16">
        <w:rPr>
          <w:rFonts w:cs="Times New Roman"/>
          <w:bCs/>
          <w:iCs/>
          <w:szCs w:val="24"/>
        </w:rPr>
        <w:lastRenderedPageBreak/>
        <w:t>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535011">
        <w:rPr>
          <w:i w:val="0"/>
          <w:sz w:val="24"/>
          <w:szCs w:val="24"/>
        </w:rPr>
        <w:t>28</w:t>
      </w:r>
      <w:r w:rsidR="00DA2F29" w:rsidRPr="0001248C">
        <w:rPr>
          <w:i w:val="0"/>
          <w:sz w:val="24"/>
          <w:szCs w:val="24"/>
        </w:rPr>
        <w:t>.0</w:t>
      </w:r>
      <w:r w:rsidR="00535011">
        <w:rPr>
          <w:i w:val="0"/>
          <w:sz w:val="24"/>
          <w:szCs w:val="24"/>
        </w:rPr>
        <w:t>4</w:t>
      </w:r>
      <w:r w:rsidR="00DA2F29" w:rsidRPr="0001248C">
        <w:rPr>
          <w:i w:val="0"/>
          <w:sz w:val="24"/>
          <w:szCs w:val="24"/>
        </w:rPr>
        <w:t>.201</w:t>
      </w:r>
      <w:r w:rsidR="00535011">
        <w:rPr>
          <w:i w:val="0"/>
          <w:sz w:val="24"/>
          <w:szCs w:val="24"/>
        </w:rPr>
        <w:t>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535011">
        <w:rPr>
          <w:i w:val="0"/>
          <w:sz w:val="24"/>
          <w:szCs w:val="24"/>
        </w:rPr>
        <w:t>28</w:t>
      </w:r>
      <w:r w:rsidR="00DA2F29" w:rsidRPr="0001248C">
        <w:rPr>
          <w:i w:val="0"/>
          <w:sz w:val="24"/>
          <w:szCs w:val="24"/>
        </w:rPr>
        <w:t>.0</w:t>
      </w:r>
      <w:r w:rsidR="00535011">
        <w:rPr>
          <w:i w:val="0"/>
          <w:sz w:val="24"/>
          <w:szCs w:val="24"/>
        </w:rPr>
        <w:t>4.2016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t>3.    </w:t>
      </w:r>
      <w:r w:rsidRPr="000647BB">
        <w:rPr>
          <w:i w:val="0"/>
          <w:sz w:val="24"/>
          <w:szCs w:val="24"/>
        </w:rPr>
        <w:t xml:space="preserve">Wykonawca </w:t>
      </w:r>
      <w:r w:rsidR="00FC5BDE" w:rsidRPr="000647BB">
        <w:rPr>
          <w:i w:val="0"/>
          <w:sz w:val="24"/>
          <w:szCs w:val="24"/>
        </w:rPr>
        <w:t xml:space="preserve">do oferty </w:t>
      </w:r>
      <w:r w:rsidRPr="000647BB">
        <w:rPr>
          <w:i w:val="0"/>
          <w:sz w:val="24"/>
          <w:szCs w:val="24"/>
        </w:rPr>
        <w:t>winien załączyć kosztorysy ofertowe opracowane na podstawie przedmiarów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lastRenderedPageBreak/>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lastRenderedPageBreak/>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 xml:space="preserve">Długość okresu gwarancji na wykonany przedmiot zamówienia. Minimalny okres wynosi </w:t>
      </w:r>
      <w:r w:rsidR="003A110E">
        <w:rPr>
          <w:i w:val="0"/>
          <w:sz w:val="24"/>
          <w:szCs w:val="24"/>
        </w:rPr>
        <w:t>24</w:t>
      </w:r>
      <w:r w:rsidRPr="007C44AC">
        <w:rPr>
          <w:i w:val="0"/>
          <w:sz w:val="24"/>
          <w:szCs w:val="24"/>
        </w:rPr>
        <w:t xml:space="preserve"> m-cy, maksymalny okres brany pod uwagę przy obliczaniu kryterium wyniesie </w:t>
      </w:r>
      <w:r w:rsidR="003A110E">
        <w:rPr>
          <w:i w:val="0"/>
          <w:sz w:val="24"/>
          <w:szCs w:val="24"/>
        </w:rPr>
        <w:t>48</w:t>
      </w:r>
      <w:r w:rsidRPr="007C44AC">
        <w:rPr>
          <w:i w:val="0"/>
          <w:sz w:val="24"/>
          <w:szCs w:val="24"/>
        </w:rPr>
        <w:t xml:space="preserve">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tabs>
          <w:tab w:val="left" w:pos="284"/>
        </w:tabs>
        <w:ind w:left="709"/>
        <w:jc w:val="center"/>
        <w:rPr>
          <w:rFonts w:cs="Times New Roman"/>
        </w:rPr>
      </w:pP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rPr>
          <w:rFonts w:cs="Times New Roman"/>
          <w:bCs/>
        </w:rPr>
      </w:pPr>
    </w:p>
    <w:p w:rsidR="002F6FE0" w:rsidRPr="009D2E16" w:rsidRDefault="002F6FE0" w:rsidP="006F52C0">
      <w:pPr>
        <w:pStyle w:val="Standard"/>
        <w:jc w:val="both"/>
        <w:rPr>
          <w:rFonts w:cs="Times New Roman"/>
          <w:b/>
          <w:bCs/>
        </w:rPr>
      </w:pPr>
      <w:r w:rsidRPr="009D2E16">
        <w:rPr>
          <w:rFonts w:cs="Times New Roman"/>
          <w:b/>
          <w:bCs/>
        </w:rPr>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lastRenderedPageBreak/>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lastRenderedPageBreak/>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lastRenderedPageBreak/>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Zamawiający dopuszcza zmiany umowy w stosunku do treści oferty w następujących okolicznościach :</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FB519A" w:rsidP="006F52C0">
      <w:pPr>
        <w:pStyle w:val="Standard"/>
        <w:suppressAutoHyphens w:val="0"/>
        <w:jc w:val="both"/>
        <w:rPr>
          <w:rFonts w:cs="Times New Roman"/>
        </w:rPr>
      </w:pPr>
      <w:r>
        <w:rPr>
          <w:rFonts w:cs="Times New Roman"/>
        </w:rPr>
        <w:t>3)</w:t>
      </w:r>
      <w:r w:rsidR="006F52C0">
        <w:rPr>
          <w:rFonts w:cs="Times New Roman"/>
        </w:rPr>
        <w:t xml:space="preserve">.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lastRenderedPageBreak/>
        <w:t>jakiegokolwiek opóźnienia, utrudnienia lub przeszkody spowodowane przez lub dających się przypisać Zamawiającemu,</w:t>
      </w:r>
    </w:p>
    <w:p w:rsidR="002F6FE0" w:rsidRPr="009D2E16" w:rsidRDefault="00FB519A" w:rsidP="006F52C0">
      <w:pPr>
        <w:pStyle w:val="Standard"/>
        <w:suppressAutoHyphens w:val="0"/>
        <w:jc w:val="both"/>
        <w:rPr>
          <w:rFonts w:cs="Times New Roman"/>
        </w:rPr>
      </w:pPr>
      <w:r>
        <w:rPr>
          <w:rFonts w:cs="Times New Roman"/>
        </w:rPr>
        <w:t>4)</w:t>
      </w:r>
      <w:r w:rsidR="002F6FE0" w:rsidRPr="009D2E16">
        <w:rPr>
          <w:rFonts w:cs="Times New Roman"/>
        </w:rPr>
        <w:t>.</w:t>
      </w:r>
      <w:r w:rsidR="006F52C0">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FB519A" w:rsidP="006F52C0">
      <w:pPr>
        <w:pStyle w:val="Standard"/>
        <w:suppressAutoHyphens w:val="0"/>
        <w:jc w:val="both"/>
        <w:rPr>
          <w:rFonts w:cs="Times New Roman"/>
        </w:rPr>
      </w:pPr>
      <w:r>
        <w:rPr>
          <w:rFonts w:cs="Times New Roman"/>
        </w:rPr>
        <w:t>5)</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FB519A" w:rsidP="00E60A0B">
      <w:pPr>
        <w:pStyle w:val="Standard"/>
        <w:suppressAutoHyphens w:val="0"/>
        <w:jc w:val="both"/>
        <w:rPr>
          <w:rFonts w:cs="Times New Roman"/>
        </w:rPr>
      </w:pPr>
      <w:r>
        <w:rPr>
          <w:rFonts w:cs="Times New Roman"/>
        </w:rPr>
        <w:t>a</w:t>
      </w:r>
      <w:r w:rsidR="002F6FE0" w:rsidRPr="009D2E16">
        <w:rPr>
          <w:rFonts w:cs="Times New Roman"/>
        </w:rPr>
        <w:t>)</w:t>
      </w:r>
      <w:r w:rsidR="00D55363">
        <w:rPr>
          <w:rFonts w:cs="Times New Roman"/>
        </w:rPr>
        <w:t xml:space="preserve"> </w:t>
      </w:r>
      <w:r w:rsidR="002F6FE0" w:rsidRPr="009D2E16">
        <w:rPr>
          <w:rFonts w:cs="Times New Roman"/>
        </w:rPr>
        <w:t>w sytuacji, gdyby zastosowanie przewidzianych rozwiązań groziłoby niewykonaniem lub wadliwym wykonaniem przedmiotu umowy,</w:t>
      </w:r>
    </w:p>
    <w:p w:rsidR="002F6FE0" w:rsidRPr="009D2E16" w:rsidRDefault="00FB519A" w:rsidP="00E60A0B">
      <w:pPr>
        <w:pStyle w:val="Standard"/>
        <w:suppressAutoHyphens w:val="0"/>
        <w:jc w:val="both"/>
        <w:rPr>
          <w:rFonts w:cs="Times New Roman"/>
        </w:rPr>
      </w:pPr>
      <w:r>
        <w:rPr>
          <w:rFonts w:cs="Times New Roman"/>
        </w:rPr>
        <w:t>b</w:t>
      </w:r>
      <w:r w:rsidR="002F6FE0" w:rsidRPr="009D2E16">
        <w:rPr>
          <w:rFonts w:cs="Times New Roman"/>
        </w:rPr>
        <w:t>)</w:t>
      </w:r>
      <w:r w:rsidR="00D55363">
        <w:rPr>
          <w:rFonts w:cs="Times New Roman"/>
        </w:rPr>
        <w:t xml:space="preserve"> </w:t>
      </w:r>
      <w:r w:rsidR="002F6FE0"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FB519A" w:rsidP="00E60A0B">
      <w:pPr>
        <w:pStyle w:val="Standard"/>
        <w:suppressAutoHyphens w:val="0"/>
        <w:jc w:val="both"/>
        <w:rPr>
          <w:rFonts w:cs="Times New Roman"/>
        </w:rPr>
      </w:pPr>
      <w:r>
        <w:rPr>
          <w:rFonts w:cs="Times New Roman"/>
        </w:rPr>
        <w:t>c</w:t>
      </w:r>
      <w:r w:rsidR="002F6FE0" w:rsidRPr="009D2E16">
        <w:rPr>
          <w:rFonts w:cs="Times New Roman"/>
        </w:rPr>
        <w:t>)</w:t>
      </w:r>
      <w:r w:rsidR="00D55363">
        <w:rPr>
          <w:rFonts w:cs="Times New Roman"/>
        </w:rPr>
        <w:t xml:space="preserve"> </w:t>
      </w:r>
      <w:r w:rsidR="002F6FE0"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002F6FE0" w:rsidRPr="009D2E16">
        <w:rPr>
          <w:rFonts w:cs="Times New Roman"/>
        </w:rPr>
        <w:t>prawa.</w:t>
      </w:r>
    </w:p>
    <w:p w:rsidR="002F6FE0"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FB519A" w:rsidRPr="009D2E16" w:rsidRDefault="00FB519A" w:rsidP="00FB519A">
      <w:pPr>
        <w:pStyle w:val="Standard"/>
        <w:shd w:val="clear" w:color="auto" w:fill="FFFFFF"/>
        <w:jc w:val="both"/>
      </w:pPr>
      <w:r>
        <w:rPr>
          <w:b/>
          <w:bCs/>
        </w:rPr>
        <w:t>6)</w:t>
      </w: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lastRenderedPageBreak/>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bookmarkStart w:id="0" w:name="_GoBack"/>
      <w:bookmarkEnd w:id="0"/>
      <w:r w:rsidRPr="009D2E16">
        <w:rPr>
          <w:rFonts w:cs="Times New Roman"/>
          <w:b/>
        </w:rPr>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Pr="009D2E16" w:rsidRDefault="002F6FE0" w:rsidP="006F52C0">
      <w:pPr>
        <w:pStyle w:val="Standard"/>
        <w:ind w:right="23"/>
        <w:jc w:val="center"/>
        <w:rPr>
          <w:rFonts w:cs="Times New Roman"/>
        </w:rPr>
      </w:pPr>
      <w:r w:rsidRPr="009D2E16">
        <w:rPr>
          <w:rFonts w:cs="Times New Roman"/>
        </w:rPr>
        <w:t>Na:</w:t>
      </w:r>
    </w:p>
    <w:p w:rsidR="002F6FE0" w:rsidRPr="009D2E16" w:rsidRDefault="003A110E" w:rsidP="006F52C0">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535011">
        <w:rPr>
          <w:rFonts w:eastAsia="Times New Roman" w:cs="Times New Roman"/>
          <w:b/>
          <w:bCs/>
          <w:sz w:val="28"/>
          <w:szCs w:val="28"/>
          <w:lang w:eastAsia="pl-PL"/>
        </w:rPr>
        <w:t>Trzebienicach</w:t>
      </w:r>
      <w:r w:rsidR="00CE6F71" w:rsidRPr="00CE6F71">
        <w:rPr>
          <w:rFonts w:eastAsia="Times New Roman" w:cs="Times New Roman"/>
          <w:b/>
          <w:bCs/>
          <w:sz w:val="28"/>
          <w:szCs w:val="28"/>
          <w:lang w:eastAsia="pl-PL"/>
        </w:rPr>
        <w:t>”.</w:t>
      </w: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E10BAE" w:rsidP="006F52C0">
      <w:pPr>
        <w:pStyle w:val="Standard"/>
        <w:ind w:right="23"/>
        <w:rPr>
          <w:rFonts w:cs="Times New Roman"/>
        </w:rPr>
      </w:pPr>
      <w:proofErr w:type="spellStart"/>
      <w:r>
        <w:rPr>
          <w:rFonts w:cs="Times New Roman"/>
          <w:lang w:val="de-DE"/>
        </w:rPr>
        <w:t>nr</w:t>
      </w:r>
      <w:proofErr w:type="spellEnd"/>
      <w:r>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E10BAE" w:rsidP="006F52C0">
      <w:pPr>
        <w:pStyle w:val="Standard"/>
        <w:ind w:right="23"/>
        <w:rPr>
          <w:rFonts w:cs="Times New Roman"/>
        </w:rPr>
      </w:pPr>
      <w:r>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E10BAE" w:rsidRDefault="00E10BAE" w:rsidP="006F52C0">
      <w:pPr>
        <w:pStyle w:val="Standard"/>
        <w:tabs>
          <w:tab w:val="center" w:pos="4896"/>
          <w:tab w:val="right" w:pos="9432"/>
        </w:tabs>
        <w:ind w:right="23"/>
        <w:rPr>
          <w:rFonts w:cs="Times New Roman"/>
          <w:b/>
        </w:rPr>
      </w:pP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535011">
        <w:rPr>
          <w:rFonts w:cs="Times New Roman"/>
          <w:b/>
        </w:rPr>
        <w:t>15</w:t>
      </w:r>
      <w:r w:rsidR="00EB5A26" w:rsidRPr="008735C3">
        <w:rPr>
          <w:rFonts w:cs="Times New Roman"/>
          <w:b/>
        </w:rPr>
        <w:t>.</w:t>
      </w:r>
      <w:r w:rsidR="00535011">
        <w:rPr>
          <w:rFonts w:cs="Times New Roman"/>
          <w:b/>
        </w:rPr>
        <w:t>09</w:t>
      </w:r>
      <w:r w:rsidR="00EB5A26" w:rsidRPr="008735C3">
        <w:rPr>
          <w:rFonts w:cs="Times New Roman"/>
          <w:b/>
        </w:rPr>
        <w:t>.</w:t>
      </w:r>
      <w:r w:rsidRPr="008735C3">
        <w:rPr>
          <w:rFonts w:cs="Times New Roman"/>
          <w:b/>
        </w:rPr>
        <w:t>201</w:t>
      </w:r>
      <w:r w:rsidR="00535011">
        <w:rPr>
          <w:rFonts w:cs="Times New Roman"/>
          <w:b/>
        </w:rPr>
        <w:t>6</w:t>
      </w:r>
      <w:r w:rsidRPr="008735C3">
        <w:rPr>
          <w:rFonts w:cs="Times New Roman"/>
          <w:b/>
        </w:rPr>
        <w:t xml:space="preserve">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t>……………………………………………………………………………………………………………………………………………………………………………………………………</w:t>
      </w:r>
      <w:r w:rsidRPr="009D2E16">
        <w:rPr>
          <w:rFonts w:cs="Times New Roman"/>
        </w:rPr>
        <w:lastRenderedPageBreak/>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2F6FE0" w:rsidRDefault="002F6FE0" w:rsidP="006F52C0">
      <w:pPr>
        <w:pStyle w:val="Standard"/>
        <w:ind w:right="23"/>
        <w:rPr>
          <w:rFonts w:cs="Times New Roman"/>
        </w:rPr>
      </w:pPr>
      <w:r w:rsidRPr="009D2E16">
        <w:rPr>
          <w:rFonts w:cs="Times New Roman"/>
        </w:rPr>
        <w:t>………………….….data</w:t>
      </w:r>
      <w:r w:rsidRPr="009D2E16">
        <w:rPr>
          <w:rFonts w:cs="Times New Roman"/>
          <w:b/>
        </w:rPr>
        <w:t xml:space="preserve"> </w:t>
      </w:r>
      <w:r w:rsidRPr="009D2E16">
        <w:rPr>
          <w:rFonts w:cs="Times New Roman"/>
        </w:rPr>
        <w:t>..............................</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Pr="009D2E16" w:rsidRDefault="000E6564" w:rsidP="006F52C0">
      <w:pPr>
        <w:pStyle w:val="Standard"/>
        <w:ind w:right="23"/>
        <w:rPr>
          <w:rFonts w:cs="Times New Roman"/>
        </w:rPr>
      </w:pPr>
    </w:p>
    <w:p w:rsidR="002F6FE0" w:rsidRDefault="002F6FE0"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CE6F71" w:rsidRDefault="00CE6F71" w:rsidP="006F52C0">
      <w:pPr>
        <w:pStyle w:val="Standard"/>
        <w:ind w:right="23"/>
        <w:jc w:val="right"/>
        <w:rPr>
          <w:rFonts w:cs="Times New Roman"/>
          <w:b/>
        </w:rPr>
      </w:pPr>
    </w:p>
    <w:p w:rsidR="00F320B8" w:rsidRDefault="00F320B8" w:rsidP="006F52C0">
      <w:pPr>
        <w:pStyle w:val="Standard"/>
        <w:ind w:right="23"/>
        <w:jc w:val="right"/>
        <w:rPr>
          <w:rFonts w:cs="Times New Roman"/>
          <w:b/>
        </w:rPr>
      </w:pPr>
    </w:p>
    <w:p w:rsidR="00535011" w:rsidRDefault="00535011" w:rsidP="006F52C0">
      <w:pPr>
        <w:pStyle w:val="Standard"/>
        <w:ind w:right="23"/>
        <w:jc w:val="right"/>
        <w:rPr>
          <w:rFonts w:cs="Times New Roman"/>
          <w:b/>
        </w:rPr>
      </w:pPr>
    </w:p>
    <w:p w:rsidR="00535011" w:rsidRDefault="00535011" w:rsidP="006F52C0">
      <w:pPr>
        <w:pStyle w:val="Standard"/>
        <w:ind w:right="23"/>
        <w:jc w:val="right"/>
        <w:rPr>
          <w:rFonts w:cs="Times New Roman"/>
          <w:b/>
        </w:rPr>
      </w:pPr>
    </w:p>
    <w:p w:rsidR="00535011" w:rsidRDefault="00535011" w:rsidP="006F52C0">
      <w:pPr>
        <w:pStyle w:val="Standard"/>
        <w:ind w:right="23"/>
        <w:jc w:val="right"/>
        <w:rPr>
          <w:rFonts w:cs="Times New Roman"/>
          <w:b/>
        </w:rPr>
      </w:pPr>
    </w:p>
    <w:p w:rsidR="003A110E" w:rsidRDefault="003A110E" w:rsidP="006F52C0">
      <w:pPr>
        <w:pStyle w:val="Standard"/>
        <w:ind w:right="23"/>
        <w:jc w:val="right"/>
        <w:rPr>
          <w:rFonts w:cs="Times New Roman"/>
          <w:b/>
        </w:rPr>
      </w:pPr>
    </w:p>
    <w:p w:rsidR="003A110E" w:rsidRDefault="003A110E"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535011">
        <w:rPr>
          <w:rFonts w:eastAsia="Times New Roman" w:cs="Times New Roman"/>
          <w:b/>
          <w:bCs/>
          <w:sz w:val="28"/>
          <w:szCs w:val="28"/>
          <w:lang w:eastAsia="pl-PL"/>
        </w:rPr>
        <w:t>Trzebienicach</w:t>
      </w:r>
      <w:r w:rsidRPr="00CE6F71">
        <w:rPr>
          <w:rFonts w:eastAsia="Times New Roman" w:cs="Times New Roman"/>
          <w:b/>
          <w:bCs/>
          <w:sz w:val="28"/>
          <w:szCs w:val="28"/>
          <w:lang w:eastAsia="pl-PL"/>
        </w:rPr>
        <w:t>”.</w:t>
      </w:r>
    </w:p>
    <w:p w:rsidR="00CE6F71" w:rsidRPr="009D2E16" w:rsidRDefault="00CE6F71" w:rsidP="006F52C0">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535011">
        <w:rPr>
          <w:rFonts w:cs="Times New Roman"/>
          <w:i/>
        </w:rPr>
        <w:t>6</w:t>
      </w:r>
      <w:r w:rsidRPr="009D2E16">
        <w:rPr>
          <w:rFonts w:cs="Times New Roman"/>
          <w:i/>
        </w:rPr>
        <w:t xml:space="preserve">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Standard"/>
        <w:tabs>
          <w:tab w:val="left" w:pos="709"/>
          <w:tab w:val="left" w:pos="993"/>
        </w:tabs>
        <w:rPr>
          <w:rFonts w:cs="Times New Roman"/>
          <w:b/>
        </w:rPr>
      </w:pPr>
    </w:p>
    <w:p w:rsidR="00CE6F71" w:rsidRDefault="00CE6F71" w:rsidP="006F52C0">
      <w:pPr>
        <w:pStyle w:val="Standard"/>
        <w:tabs>
          <w:tab w:val="left" w:pos="709"/>
          <w:tab w:val="left" w:pos="993"/>
        </w:tabs>
        <w:rPr>
          <w:rFonts w:cs="Times New Roman"/>
          <w:b/>
        </w:rPr>
      </w:pPr>
    </w:p>
    <w:p w:rsidR="00CE6F71" w:rsidRPr="009D2E16" w:rsidRDefault="00CE6F71" w:rsidP="006F52C0">
      <w:pPr>
        <w:pStyle w:val="Standard"/>
        <w:tabs>
          <w:tab w:val="left" w:pos="709"/>
          <w:tab w:val="left" w:pos="993"/>
        </w:tabs>
        <w:rPr>
          <w:rFonts w:cs="Times New Roman"/>
          <w:b/>
        </w:rPr>
      </w:pPr>
    </w:p>
    <w:p w:rsidR="002F6FE0" w:rsidRPr="009D2E16" w:rsidRDefault="002F6FE0"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535011">
        <w:rPr>
          <w:rFonts w:eastAsia="Times New Roman" w:cs="Times New Roman"/>
          <w:b/>
          <w:bCs/>
          <w:sz w:val="28"/>
          <w:szCs w:val="28"/>
          <w:lang w:eastAsia="pl-PL"/>
        </w:rPr>
        <w:t>Trzebienicach</w:t>
      </w:r>
      <w:r w:rsidRPr="00CE6F71">
        <w:rPr>
          <w:rFonts w:eastAsia="Times New Roman" w:cs="Times New Roman"/>
          <w:b/>
          <w:bCs/>
          <w:sz w:val="28"/>
          <w:szCs w:val="28"/>
          <w:lang w:eastAsia="pl-PL"/>
        </w:rPr>
        <w:t>”.</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dnia ..................201</w:t>
      </w:r>
      <w:r w:rsidR="00535011">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CE6F71" w:rsidRDefault="00CE6F71" w:rsidP="006F52C0">
      <w:pPr>
        <w:pStyle w:val="Textbody"/>
        <w:spacing w:line="240" w:lineRule="auto"/>
        <w:ind w:left="851"/>
      </w:pPr>
    </w:p>
    <w:p w:rsidR="00CE6F71" w:rsidRDefault="00CE6F71" w:rsidP="006F52C0">
      <w:pPr>
        <w:pStyle w:val="Textbody"/>
        <w:spacing w:line="240" w:lineRule="auto"/>
        <w:ind w:left="851"/>
      </w:pPr>
    </w:p>
    <w:p w:rsidR="000E6564" w:rsidRDefault="000E6564"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Default="002F6FE0" w:rsidP="006F52C0">
            <w:pPr>
              <w:pStyle w:val="Standard"/>
              <w:rPr>
                <w:rFonts w:cs="Times New Roman"/>
                <w:b/>
                <w:sz w:val="28"/>
                <w:szCs w:val="28"/>
              </w:rPr>
            </w:pPr>
          </w:p>
          <w:p w:rsidR="00E10BAE" w:rsidRPr="009D2E16" w:rsidRDefault="00E10BAE"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535011">
        <w:rPr>
          <w:rFonts w:eastAsia="Times New Roman" w:cs="Times New Roman"/>
          <w:b/>
          <w:bCs/>
          <w:sz w:val="28"/>
          <w:szCs w:val="28"/>
          <w:lang w:eastAsia="pl-PL"/>
        </w:rPr>
        <w:t>Trzebienicach</w:t>
      </w:r>
      <w:r w:rsidRPr="00CE6F71">
        <w:rPr>
          <w:rFonts w:eastAsia="Times New Roman" w:cs="Times New Roman"/>
          <w:b/>
          <w:bCs/>
          <w:sz w:val="28"/>
          <w:szCs w:val="28"/>
          <w:lang w:eastAsia="pl-PL"/>
        </w:rPr>
        <w:t>”.</w:t>
      </w:r>
    </w:p>
    <w:p w:rsidR="00CE6F71" w:rsidRDefault="00CE6F71" w:rsidP="006F52C0">
      <w:pPr>
        <w:pStyle w:val="Standard"/>
        <w:rPr>
          <w:rFonts w:eastAsia="Times New Roman" w:cs="Times New Roman"/>
          <w:b/>
          <w:bCs/>
          <w:lang w:eastAsia="pl-PL"/>
        </w:rPr>
      </w:pPr>
    </w:p>
    <w:p w:rsidR="00CE6F71" w:rsidRPr="009D2E16" w:rsidRDefault="00CE6F71"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535011">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F67254">
        <w:rPr>
          <w:rFonts w:eastAsia="Times New Roman" w:cs="Times New Roman"/>
          <w:b/>
          <w:bCs/>
          <w:sz w:val="28"/>
          <w:szCs w:val="28"/>
          <w:lang w:eastAsia="pl-PL"/>
        </w:rPr>
        <w:t>Trzebienicach</w:t>
      </w:r>
      <w:r w:rsidRPr="00CE6F71">
        <w:rPr>
          <w:rFonts w:eastAsia="Times New Roman" w:cs="Times New Roman"/>
          <w:b/>
          <w:bCs/>
          <w:sz w:val="28"/>
          <w:szCs w:val="28"/>
          <w:lang w:eastAsia="pl-PL"/>
        </w:rPr>
        <w:t>”.</w:t>
      </w:r>
    </w:p>
    <w:p w:rsidR="00CE6F71" w:rsidRDefault="00CE6F71" w:rsidP="006F52C0">
      <w:pPr>
        <w:pStyle w:val="Standard"/>
        <w:rPr>
          <w:rFonts w:eastAsia="Times New Roman" w:cs="Times New Roman"/>
          <w:b/>
          <w:bCs/>
          <w:lang w:eastAsia="pl-PL"/>
        </w:rPr>
      </w:pPr>
    </w:p>
    <w:p w:rsidR="00CE6F71" w:rsidRDefault="00CE6F71"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535011">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r w:rsidRPr="009D2E16">
        <w:rPr>
          <w:rFonts w:cs="Times New Roman"/>
          <w:b/>
        </w:rPr>
        <w:t>Wykaz osób, które będą uczestniczyć w wykonywaniu zamówienia pn.:</w:t>
      </w:r>
    </w:p>
    <w:p w:rsidR="002F6FE0" w:rsidRPr="009D2E16" w:rsidRDefault="002F6FE0" w:rsidP="006F52C0">
      <w:pPr>
        <w:pStyle w:val="Standard"/>
        <w:jc w:val="center"/>
        <w:rPr>
          <w:rFonts w:cs="Times New Roman"/>
          <w:b/>
        </w:rPr>
      </w:pPr>
    </w:p>
    <w:p w:rsidR="003A110E" w:rsidRPr="009D2E16" w:rsidRDefault="003A110E" w:rsidP="003A110E">
      <w:pPr>
        <w:pStyle w:val="Standard"/>
        <w:ind w:right="23"/>
        <w:jc w:val="center"/>
        <w:rPr>
          <w:rFonts w:cs="Times New Roman"/>
        </w:rPr>
      </w:pPr>
      <w:r>
        <w:rPr>
          <w:rFonts w:eastAsia="Times New Roman" w:cs="Times New Roman"/>
          <w:b/>
          <w:bCs/>
          <w:sz w:val="28"/>
          <w:szCs w:val="28"/>
          <w:lang w:eastAsia="pl-PL"/>
        </w:rPr>
        <w:t>„</w:t>
      </w:r>
      <w:r w:rsidRPr="003A110E">
        <w:rPr>
          <w:rFonts w:eastAsia="Times New Roman" w:cs="Times New Roman"/>
          <w:b/>
          <w:bCs/>
          <w:sz w:val="28"/>
          <w:szCs w:val="28"/>
          <w:lang w:eastAsia="pl-PL"/>
        </w:rPr>
        <w:t xml:space="preserve">Roboty budowlane przy budynku remizy OSP w </w:t>
      </w:r>
      <w:r w:rsidR="00535011">
        <w:rPr>
          <w:rFonts w:eastAsia="Times New Roman" w:cs="Times New Roman"/>
          <w:b/>
          <w:bCs/>
          <w:sz w:val="28"/>
          <w:szCs w:val="28"/>
          <w:lang w:eastAsia="pl-PL"/>
        </w:rPr>
        <w:t>Trzebienicach</w:t>
      </w:r>
      <w:r w:rsidRPr="00CE6F71">
        <w:rPr>
          <w:rFonts w:eastAsia="Times New Roman" w:cs="Times New Roman"/>
          <w:b/>
          <w:bCs/>
          <w:sz w:val="28"/>
          <w:szCs w:val="28"/>
          <w:lang w:eastAsia="pl-PL"/>
        </w:rPr>
        <w:t>”.</w:t>
      </w:r>
    </w:p>
    <w:p w:rsidR="00CE6F71" w:rsidRDefault="00CE6F71" w:rsidP="006F52C0">
      <w:pPr>
        <w:pStyle w:val="Standard"/>
        <w:jc w:val="center"/>
        <w:rPr>
          <w:rFonts w:eastAsia="Times New Roman" w:cs="Times New Roman"/>
          <w:b/>
          <w:bCs/>
          <w:lang w:eastAsia="pl-PL"/>
        </w:rPr>
      </w:pPr>
    </w:p>
    <w:p w:rsidR="00CE6F71" w:rsidRPr="009D2E16" w:rsidRDefault="00CE6F71"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w:t>
      </w:r>
      <w:r w:rsidR="00535011">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AC0613" w:rsidRPr="009D2E16" w:rsidRDefault="00AC0613" w:rsidP="006F52C0">
      <w:pPr>
        <w:pStyle w:val="Standard"/>
        <w:rPr>
          <w:rFonts w:cs="Times New Roman"/>
        </w:rPr>
      </w:pPr>
      <w:r w:rsidRPr="009D2E16">
        <w:rPr>
          <w:rFonts w:cs="Times New Roman"/>
        </w:rPr>
        <w:t xml:space="preserve">                      </w:t>
      </w:r>
    </w:p>
    <w:p w:rsidR="000E6564" w:rsidRDefault="002F6FE0" w:rsidP="006F52C0">
      <w:pPr>
        <w:pStyle w:val="Nagwek2"/>
        <w:keepLines w:val="0"/>
        <w:tabs>
          <w:tab w:val="left" w:pos="576"/>
        </w:tabs>
        <w:spacing w:before="0"/>
        <w:ind w:left="576" w:hanging="576"/>
        <w:jc w:val="right"/>
        <w:rPr>
          <w:rFonts w:cs="Times New Roman"/>
        </w:rPr>
      </w:pPr>
      <w:r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F5" w:rsidRDefault="007C21F5" w:rsidP="00402F49">
      <w:r>
        <w:separator/>
      </w:r>
    </w:p>
  </w:endnote>
  <w:endnote w:type="continuationSeparator" w:id="0">
    <w:p w:rsidR="007C21F5" w:rsidRDefault="007C21F5" w:rsidP="0040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74720"/>
      <w:docPartObj>
        <w:docPartGallery w:val="Page Numbers (Bottom of Page)"/>
        <w:docPartUnique/>
      </w:docPartObj>
    </w:sdtPr>
    <w:sdtContent>
      <w:p w:rsidR="00402F49" w:rsidRDefault="00402F49">
        <w:pPr>
          <w:pStyle w:val="Stopka"/>
          <w:jc w:val="right"/>
        </w:pPr>
        <w:r>
          <w:fldChar w:fldCharType="begin"/>
        </w:r>
        <w:r>
          <w:instrText>PAGE   \* MERGEFORMAT</w:instrText>
        </w:r>
        <w:r>
          <w:fldChar w:fldCharType="separate"/>
        </w:r>
        <w:r>
          <w:rPr>
            <w:noProof/>
          </w:rPr>
          <w:t>26</w:t>
        </w:r>
        <w:r>
          <w:fldChar w:fldCharType="end"/>
        </w:r>
      </w:p>
    </w:sdtContent>
  </w:sdt>
  <w:p w:rsidR="00402F49" w:rsidRDefault="00402F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F5" w:rsidRDefault="007C21F5" w:rsidP="00402F49">
      <w:r>
        <w:separator/>
      </w:r>
    </w:p>
  </w:footnote>
  <w:footnote w:type="continuationSeparator" w:id="0">
    <w:p w:rsidR="007C21F5" w:rsidRDefault="007C21F5" w:rsidP="00402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15:restartNumberingAfterBreak="0">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389A3258"/>
    <w:multiLevelType w:val="hybridMultilevel"/>
    <w:tmpl w:val="43162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2" w15:restartNumberingAfterBreak="0">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15:restartNumberingAfterBreak="0">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81334C2"/>
    <w:multiLevelType w:val="hybridMultilevel"/>
    <w:tmpl w:val="440044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15:restartNumberingAfterBreak="0">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15:restartNumberingAfterBreak="0">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8" w15:restartNumberingAfterBreak="0">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15:restartNumberingAfterBreak="0">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15:restartNumberingAfterBreak="0">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15:restartNumberingAfterBreak="0">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2" w15:restartNumberingAfterBreak="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15:restartNumberingAfterBreak="0">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0" w15:restartNumberingAfterBreak="0">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15:restartNumberingAfterBreak="0">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6" w15:restartNumberingAfterBreak="0">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15:restartNumberingAfterBreak="0">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8" w15:restartNumberingAfterBreak="0">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9" w15:restartNumberingAfterBreak="0">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80" w15:restartNumberingAfterBreak="0">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1" w15:restartNumberingAfterBreak="0">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2" w15:restartNumberingAfterBreak="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15:restartNumberingAfterBreak="0">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15:restartNumberingAfterBreak="0">
    <w:nsid w:val="787A2AF9"/>
    <w:multiLevelType w:val="hybridMultilevel"/>
    <w:tmpl w:val="3DA0B73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8" w15:restartNumberingAfterBreak="0">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15:restartNumberingAfterBreak="0">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0" w15:restartNumberingAfterBreak="0">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1" w15:restartNumberingAfterBreak="0">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2" w15:restartNumberingAfterBreak="0">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0"/>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1"/>
  </w:num>
  <w:num w:numId="12">
    <w:abstractNumId w:val="41"/>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9"/>
  </w:num>
  <w:num w:numId="14">
    <w:abstractNumId w:val="39"/>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3"/>
  </w:num>
  <w:num w:numId="16">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7"/>
  </w:num>
  <w:num w:numId="18">
    <w:abstractNumId w:val="77"/>
  </w:num>
  <w:num w:numId="19">
    <w:abstractNumId w:val="25"/>
  </w:num>
  <w:num w:numId="20">
    <w:abstractNumId w:val="88"/>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4"/>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83"/>
  </w:num>
  <w:num w:numId="32">
    <w:abstractNumId w:val="4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56"/>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num>
  <w:num w:numId="72">
    <w:abstractNumId w:val="7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8"/>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num>
  <w:num w:numId="1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2"/>
  </w:num>
  <w:num w:numId="130">
    <w:abstractNumId w:val="46"/>
  </w:num>
  <w:num w:numId="131">
    <w:abstractNumId w:val="51"/>
  </w:num>
  <w:num w:numId="132">
    <w:abstractNumId w:val="52"/>
  </w:num>
  <w:num w:numId="133">
    <w:abstractNumId w:val="57"/>
  </w:num>
  <w:num w:numId="134">
    <w:abstractNumId w:val="68"/>
  </w:num>
  <w:num w:numId="135">
    <w:abstractNumId w:val="71"/>
  </w:num>
  <w:num w:numId="136">
    <w:abstractNumId w:val="78"/>
  </w:num>
  <w:num w:numId="137">
    <w:abstractNumId w:val="89"/>
  </w:num>
  <w:num w:numId="138">
    <w:abstractNumId w:val="90"/>
  </w:num>
  <w:num w:numId="139">
    <w:abstractNumId w:val="67"/>
  </w:num>
  <w:num w:numId="140">
    <w:abstractNumId w:val="1"/>
  </w:num>
  <w:num w:numId="141">
    <w:abstractNumId w:val="64"/>
  </w:num>
  <w:num w:numId="142">
    <w:abstractNumId w:val="16"/>
  </w:num>
  <w:num w:numId="143">
    <w:abstractNumId w:val="0"/>
  </w:num>
  <w:num w:numId="144">
    <w:abstractNumId w:val="48"/>
  </w:num>
  <w:num w:numId="145">
    <w:abstractNumId w:val="37"/>
  </w:num>
  <w:num w:numId="146">
    <w:abstractNumId w:val="8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0"/>
    <w:rsid w:val="0001248C"/>
    <w:rsid w:val="0004597A"/>
    <w:rsid w:val="0004639D"/>
    <w:rsid w:val="0006440A"/>
    <w:rsid w:val="000647BB"/>
    <w:rsid w:val="00085B9A"/>
    <w:rsid w:val="000B6F9A"/>
    <w:rsid w:val="000C5873"/>
    <w:rsid w:val="000E6564"/>
    <w:rsid w:val="00163709"/>
    <w:rsid w:val="001B6670"/>
    <w:rsid w:val="002178BD"/>
    <w:rsid w:val="00284684"/>
    <w:rsid w:val="002A6AF0"/>
    <w:rsid w:val="002D2516"/>
    <w:rsid w:val="002F237E"/>
    <w:rsid w:val="002F61D4"/>
    <w:rsid w:val="002F6FE0"/>
    <w:rsid w:val="003471B8"/>
    <w:rsid w:val="0036325E"/>
    <w:rsid w:val="00364E12"/>
    <w:rsid w:val="00375C75"/>
    <w:rsid w:val="003A110E"/>
    <w:rsid w:val="003D1799"/>
    <w:rsid w:val="00402F49"/>
    <w:rsid w:val="004444AF"/>
    <w:rsid w:val="00444EF6"/>
    <w:rsid w:val="00475C2D"/>
    <w:rsid w:val="00494CB3"/>
    <w:rsid w:val="004A6B7C"/>
    <w:rsid w:val="004F25E7"/>
    <w:rsid w:val="004F5FB2"/>
    <w:rsid w:val="00504827"/>
    <w:rsid w:val="00535011"/>
    <w:rsid w:val="006532C8"/>
    <w:rsid w:val="00671D2D"/>
    <w:rsid w:val="006B688D"/>
    <w:rsid w:val="006D7B20"/>
    <w:rsid w:val="006F52C0"/>
    <w:rsid w:val="00756F67"/>
    <w:rsid w:val="00781F60"/>
    <w:rsid w:val="007C21F5"/>
    <w:rsid w:val="007C44AC"/>
    <w:rsid w:val="007D1CD8"/>
    <w:rsid w:val="00836459"/>
    <w:rsid w:val="00872CD3"/>
    <w:rsid w:val="008735C3"/>
    <w:rsid w:val="008D5FEA"/>
    <w:rsid w:val="008E1C22"/>
    <w:rsid w:val="008E6D84"/>
    <w:rsid w:val="00950542"/>
    <w:rsid w:val="009D2E16"/>
    <w:rsid w:val="00A64D2D"/>
    <w:rsid w:val="00A71116"/>
    <w:rsid w:val="00AC0613"/>
    <w:rsid w:val="00AC2208"/>
    <w:rsid w:val="00AC4FC5"/>
    <w:rsid w:val="00AD7D82"/>
    <w:rsid w:val="00B03DF9"/>
    <w:rsid w:val="00B148CD"/>
    <w:rsid w:val="00B22802"/>
    <w:rsid w:val="00B67CB9"/>
    <w:rsid w:val="00B75E8A"/>
    <w:rsid w:val="00B81901"/>
    <w:rsid w:val="00BA6AC7"/>
    <w:rsid w:val="00BC0B3E"/>
    <w:rsid w:val="00C05A47"/>
    <w:rsid w:val="00C20BD8"/>
    <w:rsid w:val="00C429F0"/>
    <w:rsid w:val="00C842DC"/>
    <w:rsid w:val="00C853A4"/>
    <w:rsid w:val="00CE6F71"/>
    <w:rsid w:val="00CF7F76"/>
    <w:rsid w:val="00D16CD4"/>
    <w:rsid w:val="00D51500"/>
    <w:rsid w:val="00D55363"/>
    <w:rsid w:val="00D74733"/>
    <w:rsid w:val="00DA2F29"/>
    <w:rsid w:val="00E10BAE"/>
    <w:rsid w:val="00E30FA7"/>
    <w:rsid w:val="00E3363C"/>
    <w:rsid w:val="00E3623A"/>
    <w:rsid w:val="00E60A0B"/>
    <w:rsid w:val="00E975F8"/>
    <w:rsid w:val="00EB5A26"/>
    <w:rsid w:val="00ED75C7"/>
    <w:rsid w:val="00F320B8"/>
    <w:rsid w:val="00F52976"/>
    <w:rsid w:val="00F67254"/>
    <w:rsid w:val="00F67FD5"/>
    <w:rsid w:val="00FB519A"/>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C3DEF-3730-448D-8A7A-C965DA7D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unhideWhenUsed/>
    <w:rsid w:val="002F6FE0"/>
    <w:pPr>
      <w:tabs>
        <w:tab w:val="center" w:pos="4536"/>
        <w:tab w:val="right" w:pos="9072"/>
      </w:tabs>
    </w:pPr>
    <w:rPr>
      <w:szCs w:val="21"/>
    </w:rPr>
  </w:style>
  <w:style w:type="character" w:customStyle="1" w:styleId="NagwekZnak">
    <w:name w:val="Nagłówek Znak"/>
    <w:basedOn w:val="Domylnaczcionkaakapitu"/>
    <w:link w:val="Nagwek"/>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uiPriority w:val="99"/>
    <w:unhideWhenUsed/>
    <w:rsid w:val="002F6FE0"/>
    <w:pPr>
      <w:tabs>
        <w:tab w:val="center" w:pos="4536"/>
        <w:tab w:val="right" w:pos="9072"/>
      </w:tabs>
    </w:pPr>
    <w:rPr>
      <w:szCs w:val="21"/>
    </w:rPr>
  </w:style>
  <w:style w:type="character" w:customStyle="1" w:styleId="StopkaZnak">
    <w:name w:val="Stopka Znak"/>
    <w:basedOn w:val="Domylnaczcionkaakapitu"/>
    <w:link w:val="Stopka"/>
    <w:uiPriority w:val="99"/>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cza.pl" TargetMode="External"/><Relationship Id="rId13" Type="http://schemas.openxmlformats.org/officeDocument/2006/relationships/hyperlink" Target="mailto:ug@golc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golcz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cz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hyperlink" Target="mailto:ug@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0327-924C-4A71-9E42-7C97B6E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9344</Words>
  <Characters>56070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Wolf</cp:lastModifiedBy>
  <cp:revision>8</cp:revision>
  <cp:lastPrinted>2016-04-11T09:12:00Z</cp:lastPrinted>
  <dcterms:created xsi:type="dcterms:W3CDTF">2016-04-08T13:09:00Z</dcterms:created>
  <dcterms:modified xsi:type="dcterms:W3CDTF">2016-04-11T09:17:00Z</dcterms:modified>
</cp:coreProperties>
</file>