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SimSun"/>
          <w:lang w:eastAsia="zh-CN"/>
        </w:rPr>
      </w:pPr>
      <w:r>
        <w:rPr/>
        <w:t>Załącznik nr 4 do SIWZ</w:t>
      </w:r>
      <w:r/>
    </w:p>
    <w:p>
      <w:pPr>
        <w:pStyle w:val="Normal"/>
        <w:rPr>
          <w:sz w:val="23"/>
          <w:b/>
          <w:sz w:val="23"/>
          <w:b/>
          <w:szCs w:val="23"/>
          <w:bCs/>
          <w:rFonts w:ascii="TimesNewRomanPS-BoldMT" w:hAnsi="TimesNewRomanPS-BoldMT" w:eastAsia="SimSun" w:cs="TimesNewRomanPS-BoldMT"/>
          <w:lang w:eastAsia="pl-PL"/>
        </w:rPr>
      </w:pPr>
      <w:r>
        <w:rPr>
          <w:rFonts w:cs="TimesNewRomanPS-BoldMT" w:ascii="TimesNewRomanPS-BoldMT" w:hAnsi="TimesNewRomanPS-BoldMT"/>
          <w:b/>
          <w:bCs/>
          <w:sz w:val="23"/>
          <w:szCs w:val="23"/>
          <w:lang w:eastAsia="pl-PL"/>
        </w:rPr>
      </w:r>
      <w:r/>
    </w:p>
    <w:p>
      <w:pPr>
        <w:pStyle w:val="Normal"/>
      </w:pPr>
      <w:r>
        <w:rPr/>
        <w:t>.................................................................                           ...........................................................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SimSun"/>
          <w:lang w:eastAsia="zh-CN"/>
        </w:rPr>
      </w:pPr>
      <w:r>
        <w:rPr/>
        <w:t>(miejscowość i data)</w:t>
      </w:r>
      <w:r/>
    </w:p>
    <w:p>
      <w:pPr>
        <w:pStyle w:val="Normal"/>
      </w:pPr>
      <w:r>
        <w:rPr/>
        <w:t>....................................................................</w:t>
      </w:r>
      <w:r/>
    </w:p>
    <w:p>
      <w:pPr>
        <w:pStyle w:val="Normal"/>
      </w:pPr>
      <w:r>
        <w:rPr/>
        <w:t xml:space="preserve"> </w:t>
      </w:r>
      <w:r>
        <w:rPr/>
        <w:t>(nazwa i adres Wykonawcy)</w:t>
      </w:r>
      <w:r/>
    </w:p>
    <w:p>
      <w:pPr>
        <w:pStyle w:val="Mojenaglowek1"/>
        <w:spacing w:before="0" w:after="0"/>
        <w:ind w:firstLine="6237"/>
        <w:rPr>
          <w:sz w:val="24"/>
          <w:b/>
          <w:sz w:val="24"/>
          <w:b/>
          <w:szCs w:val="24"/>
          <w:bCs/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Mojenaglowek1"/>
        <w:spacing w:before="0" w:after="0"/>
        <w:ind w:firstLine="623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Gmina Gołcza</w:t>
      </w:r>
      <w:r/>
    </w:p>
    <w:p>
      <w:pPr>
        <w:pStyle w:val="Mojenaglowek1"/>
        <w:spacing w:before="0" w:after="0"/>
        <w:ind w:firstLine="623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Gołcza 80</w:t>
      </w:r>
      <w:r/>
    </w:p>
    <w:p>
      <w:pPr>
        <w:pStyle w:val="Mojenaglowek1"/>
        <w:spacing w:before="0" w:after="0"/>
        <w:ind w:firstLine="623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32-075 Gołcza</w:t>
      </w:r>
      <w:r/>
    </w:p>
    <w:p>
      <w:pPr>
        <w:pStyle w:val="Normal"/>
      </w:pPr>
      <w:r>
        <w:rPr/>
      </w:r>
      <w:r/>
    </w:p>
    <w:p>
      <w:pPr>
        <w:pStyle w:val="Normal"/>
        <w:rPr>
          <w:sz w:val="23"/>
          <w:b/>
          <w:sz w:val="23"/>
          <w:b/>
          <w:szCs w:val="23"/>
          <w:bCs/>
          <w:rFonts w:ascii="TimesNewRomanPS-BoldMT" w:hAnsi="TimesNewRomanPS-BoldMT" w:eastAsia="SimSun" w:cs="TimesNewRomanPS-BoldMT"/>
          <w:lang w:eastAsia="pl-PL"/>
        </w:rPr>
      </w:pPr>
      <w:r>
        <w:rPr>
          <w:rFonts w:cs="TimesNewRomanPS-BoldMT" w:ascii="TimesNewRomanPS-BoldMT" w:hAnsi="TimesNewRomanPS-BoldMT"/>
          <w:b/>
          <w:bCs/>
          <w:sz w:val="23"/>
          <w:szCs w:val="23"/>
          <w:lang w:eastAsia="pl-PL"/>
        </w:rPr>
      </w:r>
      <w:r/>
    </w:p>
    <w:p>
      <w:pPr>
        <w:pStyle w:val="Normal"/>
        <w:jc w:val="center"/>
        <w:rPr>
          <w:color w:val="000000"/>
        </w:rPr>
      </w:pPr>
      <w:r>
        <w:rPr>
          <w:rStyle w:val="FontStyle26"/>
          <w:b/>
          <w:bCs/>
          <w:sz w:val="24"/>
          <w:szCs w:val="24"/>
        </w:rPr>
        <w:t>Wykaz narzędzi, wyposażenia zakładu i urządzeń technicznych dostępnych Wykonawcy usług</w:t>
      </w:r>
      <w:r>
        <w:rPr>
          <w:rStyle w:val="FontStyle26"/>
          <w:sz w:val="24"/>
          <w:szCs w:val="24"/>
        </w:rPr>
        <w:t xml:space="preserve"> </w:t>
      </w:r>
      <w:r>
        <w:rPr>
          <w:rStyle w:val="FontStyle26"/>
          <w:b/>
          <w:bCs/>
          <w:sz w:val="24"/>
          <w:szCs w:val="24"/>
        </w:rPr>
        <w:t>w celu wykonania zamówienia wraz z informacją o podstawie do dysponowania tymi zasobami</w:t>
      </w:r>
      <w:r>
        <w:rPr>
          <w:rStyle w:val="FontStyle26"/>
          <w:sz w:val="24"/>
          <w:szCs w:val="24"/>
        </w:rPr>
        <w:t xml:space="preserve"> </w:t>
      </w:r>
      <w:r>
        <w:rPr>
          <w:lang w:eastAsia="pl-PL"/>
        </w:rPr>
        <w:t xml:space="preserve">w postępowaniu prowadzonym w trybie przetargu nieograniczonego na: </w:t>
      </w:r>
      <w:r>
        <w:rPr>
          <w:b/>
          <w:bCs/>
          <w:lang w:eastAsia="pl-PL"/>
        </w:rPr>
        <w:t>„</w:t>
      </w:r>
      <w:r>
        <w:rPr>
          <w:b/>
          <w:bCs/>
          <w:u w:val="single"/>
          <w:lang w:eastAsia="pl-PL"/>
        </w:rPr>
        <w:t xml:space="preserve">ODBIÓR I ZAGOSPODAROWANIE ODPADÓW KOMUNALNYCH </w:t>
      </w:r>
      <w:r>
        <w:rPr>
          <w:b/>
          <w:bCs/>
          <w:u w:val="single"/>
          <w:lang w:eastAsia="pl-PL"/>
        </w:rPr>
        <w:t xml:space="preserve">OD WŁAŚCICIELI NIERUCHOMOŚCI </w:t>
      </w:r>
      <w:r>
        <w:rPr>
          <w:b/>
          <w:bCs/>
          <w:u w:val="single"/>
          <w:lang w:eastAsia="pl-PL"/>
        </w:rPr>
        <w:t xml:space="preserve">Z TERENU  GMINY GOŁCZA, </w:t>
      </w:r>
      <w:r>
        <w:rPr>
          <w:b/>
          <w:bCs/>
          <w:u w:val="single"/>
          <w:lang w:eastAsia="pl-PL"/>
        </w:rPr>
        <w:t>NA KTÓRYCH ZAMIESZKUJĄ MIESZKAŃCY</w:t>
      </w:r>
      <w:r>
        <w:rPr>
          <w:b/>
          <w:bCs/>
          <w:lang w:eastAsia="pl-PL"/>
        </w:rPr>
        <w:t xml:space="preserve">” </w:t>
      </w:r>
      <w:r>
        <w:rPr>
          <w:lang w:eastAsia="pl-PL"/>
        </w:rPr>
        <w:t>w zakresie jak określono w SIWZ</w:t>
      </w:r>
      <w:r/>
    </w:p>
    <w:p>
      <w:pPr>
        <w:pStyle w:val="Style101"/>
        <w:widowControl/>
        <w:tabs>
          <w:tab w:val="left" w:pos="284" w:leader="none"/>
        </w:tabs>
        <w:ind w:left="284" w:hanging="284"/>
        <w:jc w:val="both"/>
      </w:pPr>
      <w:r>
        <w:rPr/>
      </w:r>
      <w:r/>
    </w:p>
    <w:p>
      <w:pPr>
        <w:pStyle w:val="Style101"/>
        <w:widowControl/>
        <w:tabs>
          <w:tab w:val="left" w:pos="284" w:leader="none"/>
        </w:tabs>
        <w:ind w:left="284" w:hanging="284"/>
        <w:jc w:val="both"/>
        <w:rPr>
          <w:rFonts w:eastAsia="SimSun"/>
        </w:rPr>
      </w:pPr>
      <w:r>
        <w:rPr>
          <w:rStyle w:val="FontStyle35"/>
        </w:rPr>
        <w:t>Wykonawca musi wykazać, że:</w:t>
      </w:r>
      <w:r/>
    </w:p>
    <w:p>
      <w:pPr>
        <w:pStyle w:val="Style101"/>
        <w:widowControl/>
        <w:numPr>
          <w:ilvl w:val="0"/>
          <w:numId w:val="1"/>
        </w:numPr>
        <w:tabs>
          <w:tab w:val="left" w:pos="284" w:leader="none"/>
          <w:tab w:val="left" w:pos="851" w:leader="none"/>
        </w:tabs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Dysponuje lub będzie dysponować samochodami specjalistycznymi i samochodem ciężarowym, spełniającymi wymagania techniczne określone przepisami ustawy prawo o ruchu drogowym oraz innymi przepisami szczególnymi, w ilości (łącznej):</w:t>
      </w:r>
      <w:r/>
    </w:p>
    <w:p>
      <w:pPr>
        <w:pStyle w:val="Style101"/>
        <w:widowControl/>
        <w:tabs>
          <w:tab w:val="left" w:pos="284" w:leader="none"/>
          <w:tab w:val="left" w:pos="851" w:leader="none"/>
          <w:tab w:val="left" w:pos="1701" w:leader="none"/>
        </w:tabs>
        <w:ind w:left="284" w:hanging="284"/>
      </w:pPr>
      <w:r>
        <w:rPr>
          <w:color w:val="000000"/>
          <w:sz w:val="20"/>
          <w:szCs w:val="20"/>
        </w:rPr>
        <w:t xml:space="preserve">- </w:t>
      </w:r>
      <w:r>
        <w:rPr>
          <w:b/>
          <w:bCs/>
          <w:color w:val="000000"/>
          <w:sz w:val="20"/>
          <w:szCs w:val="20"/>
        </w:rPr>
        <w:t>co najmniej 2 pojazdy</w:t>
      </w:r>
      <w:r>
        <w:rPr>
          <w:color w:val="000000"/>
          <w:sz w:val="20"/>
          <w:szCs w:val="20"/>
        </w:rPr>
        <w:t xml:space="preserve"> przystosowane do odbierania zmieszanych odpadów komunalnych z pojemników  </w:t>
      </w:r>
      <w:r>
        <w:rPr>
          <w:color w:val="000000"/>
          <w:sz w:val="20"/>
          <w:szCs w:val="20"/>
        </w:rPr>
        <w:t>od 120 l do 1100 l</w:t>
      </w:r>
      <w:r>
        <w:rPr>
          <w:color w:val="000000"/>
          <w:sz w:val="20"/>
          <w:szCs w:val="20"/>
        </w:rPr>
        <w:t>,</w:t>
      </w:r>
      <w:r/>
    </w:p>
    <w:p>
      <w:pPr>
        <w:pStyle w:val="Style101"/>
        <w:widowControl/>
        <w:tabs>
          <w:tab w:val="left" w:pos="284" w:leader="none"/>
          <w:tab w:val="left" w:pos="851" w:leader="none"/>
          <w:tab w:val="left" w:pos="1701" w:leader="none"/>
        </w:tabs>
        <w:ind w:left="284" w:hanging="284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 xml:space="preserve">- </w:t>
      </w:r>
      <w:r>
        <w:rPr>
          <w:b/>
          <w:bCs/>
          <w:color w:val="000000"/>
          <w:sz w:val="20"/>
          <w:szCs w:val="20"/>
        </w:rPr>
        <w:t>co najmniej 2 pojazdy</w:t>
      </w:r>
      <w:r>
        <w:rPr>
          <w:color w:val="000000"/>
          <w:sz w:val="20"/>
          <w:szCs w:val="20"/>
        </w:rPr>
        <w:t xml:space="preserve"> przystosowane do odbierania selektywnie zebranych odpadów komunalnych z pojemników 1100 l oraz z worków,</w:t>
      </w:r>
      <w:r/>
    </w:p>
    <w:p>
      <w:pPr>
        <w:pStyle w:val="Style101"/>
        <w:widowControl/>
        <w:tabs>
          <w:tab w:val="left" w:pos="284" w:leader="none"/>
          <w:tab w:val="left" w:pos="851" w:leader="none"/>
          <w:tab w:val="left" w:pos="1701" w:leader="none"/>
        </w:tabs>
        <w:ind w:left="284" w:hanging="284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 xml:space="preserve">- </w:t>
      </w:r>
      <w:r>
        <w:rPr>
          <w:b/>
          <w:bCs/>
          <w:color w:val="000000"/>
          <w:sz w:val="20"/>
          <w:szCs w:val="20"/>
        </w:rPr>
        <w:t>pojazd o masie całkowitej do 3,5 tony</w:t>
      </w:r>
      <w:r>
        <w:rPr>
          <w:color w:val="000000"/>
          <w:sz w:val="20"/>
          <w:szCs w:val="20"/>
        </w:rPr>
        <w:t xml:space="preserve"> przystosowany do odbioru odpadów z posesji o utrudnionym dojeździe o szerokości jezdni do 2,5 m,</w:t>
      </w:r>
      <w:r/>
    </w:p>
    <w:p>
      <w:pPr>
        <w:pStyle w:val="Style101"/>
        <w:widowControl/>
        <w:tabs>
          <w:tab w:val="left" w:pos="284" w:leader="none"/>
          <w:tab w:val="left" w:pos="851" w:leader="none"/>
          <w:tab w:val="left" w:pos="1701" w:leader="none"/>
        </w:tabs>
        <w:ind w:left="284" w:hanging="284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 xml:space="preserve">- </w:t>
      </w:r>
      <w:r>
        <w:rPr>
          <w:b/>
          <w:bCs/>
          <w:color w:val="000000"/>
          <w:sz w:val="20"/>
          <w:szCs w:val="20"/>
        </w:rPr>
        <w:t>samochód ciężarowy przystosowany do odbioru odpadów wielkogabarytowych</w:t>
      </w:r>
      <w:r>
        <w:rPr>
          <w:color w:val="000000"/>
          <w:sz w:val="20"/>
          <w:szCs w:val="20"/>
        </w:rPr>
        <w:t>.</w:t>
      </w:r>
      <w:r/>
    </w:p>
    <w:p>
      <w:pPr>
        <w:pStyle w:val="Style101"/>
        <w:widowControl/>
        <w:tabs>
          <w:tab w:val="left" w:pos="284" w:leader="none"/>
          <w:tab w:val="left" w:pos="851" w:leader="none"/>
          <w:tab w:val="left" w:pos="1701" w:leader="none"/>
        </w:tabs>
        <w:ind w:left="284" w:hanging="284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b) Posiada lub będzie posiadać odpowiednią do przedmiotu zamówienia, bazę transportową z zapleczem techniczno- biurowym, spełniającą wymagania przepisów budowlanych, sanitarnych i ochrony środowiska. Baza transportowa ma zapewniać możliwość garażowania taboru samochodowego na jej terenie, a zaplecze techniczno-biurowe ma umożliwiać codzienny kontakt Wykonawcy z przedstawicielem Zamawiającego.</w:t>
      </w:r>
      <w:r/>
    </w:p>
    <w:p>
      <w:pPr>
        <w:pStyle w:val="Style101"/>
        <w:widowControl/>
        <w:tabs>
          <w:tab w:val="left" w:pos="284" w:leader="none"/>
          <w:tab w:val="left" w:pos="851" w:leader="none"/>
          <w:tab w:val="left" w:pos="1701" w:leader="none"/>
        </w:tabs>
        <w:ind w:left="284" w:hanging="284"/>
        <w:jc w:val="both"/>
        <w:rPr>
          <w:u w:val="single"/>
        </w:rPr>
      </w:pPr>
      <w:r>
        <w:rPr>
          <w:rStyle w:val="FontStyle26"/>
          <w:rFonts w:eastAsia="SimSun"/>
          <w:sz w:val="20"/>
          <w:szCs w:val="20"/>
        </w:rPr>
        <w:t xml:space="preserve">c) </w:t>
        <w:tab/>
      </w:r>
      <w:r>
        <w:rPr>
          <w:rStyle w:val="FontStyle35"/>
          <w:u w:val="single"/>
        </w:rPr>
        <w:t xml:space="preserve">Zamawiający uzna warunek za spełniony jeżeli Wykonawca przedstawi wykaz wymaganego sprzętu opisanego powyżej i złoży </w:t>
      </w:r>
      <w:r>
        <w:rPr>
          <w:sz w:val="20"/>
          <w:szCs w:val="20"/>
          <w:u w:val="single"/>
        </w:rPr>
        <w:t xml:space="preserve">oświadczenie </w:t>
      </w:r>
      <w:r>
        <w:rPr>
          <w:rStyle w:val="FontStyle35"/>
          <w:u w:val="single"/>
        </w:rPr>
        <w:t xml:space="preserve">o posiadaniu lub prawie do posiadania bazy transportowej z zapleczem techniczno-biurowym opisanej powyżej. </w:t>
      </w:r>
      <w:r/>
    </w:p>
    <w:p>
      <w:pPr>
        <w:pStyle w:val="Style101"/>
        <w:widowControl/>
        <w:tabs>
          <w:tab w:val="left" w:pos="284" w:leader="none"/>
          <w:tab w:val="left" w:pos="851" w:leader="none"/>
          <w:tab w:val="left" w:pos="1701" w:leader="none"/>
        </w:tabs>
        <w:ind w:left="284" w:hanging="284"/>
        <w:jc w:val="both"/>
        <w:rPr>
          <w:sz w:val="24"/>
          <w:u w:val="single"/>
          <w:sz w:val="24"/>
          <w:szCs w:val="24"/>
          <w:rFonts w:ascii="Times New Roman" w:hAnsi="Times New Roman" w:eastAsia="Times New Roman"/>
          <w:lang w:eastAsia="pl-PL"/>
        </w:rPr>
      </w:pPr>
      <w:r>
        <w:rPr>
          <w:u w:val="single"/>
        </w:rPr>
      </w:r>
      <w:r/>
    </w:p>
    <w:tbl>
      <w:tblPr>
        <w:tblW w:w="9519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446"/>
        <w:gridCol w:w="3284"/>
        <w:gridCol w:w="1372"/>
        <w:gridCol w:w="1686"/>
        <w:gridCol w:w="2731"/>
      </w:tblGrid>
      <w:tr>
        <w:trPr>
          <w:trHeight w:val="565" w:hRule="exact"/>
        </w:trPr>
        <w:tc>
          <w:tcPr>
            <w:tcW w:w="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  <w:r/>
          </w:p>
        </w:tc>
        <w:tc>
          <w:tcPr>
            <w:tcW w:w="3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Typ samochodu specjalistycznego</w:t>
            </w:r>
            <w:r/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Nr rejestracyjny</w:t>
            </w:r>
            <w:r/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Przeznaczenie</w:t>
            </w:r>
            <w:r/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 posiadania sprzętu</w:t>
            </w:r>
            <w:r/>
          </w:p>
        </w:tc>
      </w:tr>
      <w:tr>
        <w:trPr>
          <w:trHeight w:val="585" w:hRule="atLeast"/>
        </w:trPr>
        <w:tc>
          <w:tcPr>
            <w:tcW w:w="951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tabs>
                <w:tab w:val="left" w:pos="900" w:leader="none"/>
                <w:tab w:val="left" w:pos="1080" w:leader="none"/>
                <w:tab w:val="left" w:pos="1320" w:leader="none"/>
                <w:tab w:val="left" w:pos="1497" w:leader="none"/>
              </w:tabs>
              <w:spacing w:lineRule="auto" w:line="276"/>
              <w:jc w:val="center"/>
            </w:pPr>
            <w:r>
              <w:rPr>
                <w:sz w:val="22"/>
                <w:szCs w:val="22"/>
              </w:rPr>
              <w:t xml:space="preserve">Pojazdy przystosowane do odbierania zmieszanych odpadów komunalnych z pojemników                         </w:t>
            </w:r>
            <w:r>
              <w:rPr>
                <w:sz w:val="22"/>
                <w:szCs w:val="22"/>
              </w:rPr>
              <w:t>od 120 l do 1100 l</w:t>
            </w:r>
            <w:r/>
          </w:p>
        </w:tc>
      </w:tr>
      <w:tr>
        <w:trPr>
          <w:trHeight w:val="537" w:hRule="exact"/>
        </w:trPr>
        <w:tc>
          <w:tcPr>
            <w:tcW w:w="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  <w:t>1.</w:t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  <w:tc>
          <w:tcPr>
            <w:tcW w:w="3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  <w:tc>
          <w:tcPr>
            <w:tcW w:w="16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  <w:tc>
          <w:tcPr>
            <w:tcW w:w="273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</w:tr>
      <w:tr>
        <w:trPr>
          <w:trHeight w:val="531" w:hRule="exact"/>
        </w:trPr>
        <w:tc>
          <w:tcPr>
            <w:tcW w:w="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  <w:t>2.</w:t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  <w:tc>
          <w:tcPr>
            <w:tcW w:w="3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  <w:tc>
          <w:tcPr>
            <w:tcW w:w="16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  <w:tc>
          <w:tcPr>
            <w:tcW w:w="273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</w:tr>
      <w:tr>
        <w:trPr>
          <w:trHeight w:val="578" w:hRule="atLeast"/>
        </w:trPr>
        <w:tc>
          <w:tcPr>
            <w:tcW w:w="951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Pojazdy przystosowane do odbierania selektywnie zebranych odpadów komunalnych z pojemników 1100 l oraz z worków </w:t>
            </w:r>
            <w:r/>
          </w:p>
        </w:tc>
      </w:tr>
      <w:tr>
        <w:trPr>
          <w:trHeight w:val="537" w:hRule="exact"/>
        </w:trPr>
        <w:tc>
          <w:tcPr>
            <w:tcW w:w="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  <w:t>1.</w:t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  <w:tc>
          <w:tcPr>
            <w:tcW w:w="3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  <w:tc>
          <w:tcPr>
            <w:tcW w:w="16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  <w:tc>
          <w:tcPr>
            <w:tcW w:w="273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</w:tr>
      <w:tr>
        <w:trPr>
          <w:trHeight w:val="531" w:hRule="exact"/>
        </w:trPr>
        <w:tc>
          <w:tcPr>
            <w:tcW w:w="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  <w:t>2.</w:t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  <w:tc>
          <w:tcPr>
            <w:tcW w:w="3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  <w:tc>
          <w:tcPr>
            <w:tcW w:w="16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  <w:tc>
          <w:tcPr>
            <w:tcW w:w="273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</w:tr>
      <w:tr>
        <w:trPr>
          <w:trHeight w:val="362" w:hRule="atLeast"/>
        </w:trPr>
        <w:tc>
          <w:tcPr>
            <w:tcW w:w="951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Pojazd </w:t>
            </w:r>
            <w:r>
              <w:rPr>
                <w:rStyle w:val="FontStyle35"/>
                <w:sz w:val="22"/>
                <w:szCs w:val="22"/>
              </w:rPr>
              <w:t>o masie całkowitej do 3,5 tony do odbioru odpadów z posesji o utrudnionym dojeździe o szerokości jezdni do 2,5 m</w:t>
            </w:r>
            <w:r/>
          </w:p>
        </w:tc>
      </w:tr>
      <w:tr>
        <w:trPr>
          <w:trHeight w:val="537" w:hRule="exact"/>
        </w:trPr>
        <w:tc>
          <w:tcPr>
            <w:tcW w:w="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  <w:t>1.</w:t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  <w:tc>
          <w:tcPr>
            <w:tcW w:w="3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  <w:tc>
          <w:tcPr>
            <w:tcW w:w="16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  <w:tc>
          <w:tcPr>
            <w:tcW w:w="273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</w:tr>
      <w:tr>
        <w:trPr>
          <w:trHeight w:val="537" w:hRule="exact"/>
        </w:trPr>
        <w:tc>
          <w:tcPr>
            <w:tcW w:w="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  <w:tc>
          <w:tcPr>
            <w:tcW w:w="3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  <w:tc>
          <w:tcPr>
            <w:tcW w:w="16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  <w:tc>
          <w:tcPr>
            <w:tcW w:w="273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</w:tr>
      <w:tr>
        <w:trPr>
          <w:trHeight w:val="378" w:hRule="atLeast"/>
        </w:trPr>
        <w:tc>
          <w:tcPr>
            <w:tcW w:w="951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tabs>
                <w:tab w:val="left" w:pos="900" w:leader="none"/>
                <w:tab w:val="left" w:pos="1080" w:leader="none"/>
                <w:tab w:val="left" w:pos="1320" w:leader="none"/>
                <w:tab w:val="left" w:pos="1497" w:leader="none"/>
              </w:tabs>
              <w:spacing w:lineRule="auto" w:line="276"/>
              <w:ind w:left="709" w:hanging="0"/>
              <w:jc w:val="both"/>
              <w:rPr>
                <w:sz w:val="22"/>
                <w:sz w:val="22"/>
                <w:szCs w:val="22"/>
              </w:rPr>
            </w:pPr>
            <w:r>
              <w:rPr>
                <w:rStyle w:val="FontStyle35"/>
                <w:sz w:val="22"/>
                <w:szCs w:val="22"/>
              </w:rPr>
              <w:t>Samochód ciężarowy przystosowany do odbioru odpadów wielkogabarytowych</w:t>
            </w:r>
            <w:r/>
          </w:p>
        </w:tc>
      </w:tr>
      <w:tr>
        <w:trPr>
          <w:trHeight w:val="537" w:hRule="exact"/>
        </w:trPr>
        <w:tc>
          <w:tcPr>
            <w:tcW w:w="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  <w:t>1.</w:t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  <w:tc>
          <w:tcPr>
            <w:tcW w:w="3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  <w:tc>
          <w:tcPr>
            <w:tcW w:w="16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  <w:tc>
          <w:tcPr>
            <w:tcW w:w="273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</w:tr>
      <w:tr>
        <w:trPr>
          <w:trHeight w:val="537" w:hRule="exact"/>
        </w:trPr>
        <w:tc>
          <w:tcPr>
            <w:tcW w:w="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  <w:tc>
          <w:tcPr>
            <w:tcW w:w="3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  <w:tc>
          <w:tcPr>
            <w:tcW w:w="16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  <w:tc>
          <w:tcPr>
            <w:tcW w:w="273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</w:r>
            <w:r/>
          </w:p>
        </w:tc>
      </w:tr>
    </w:tbl>
    <w:p>
      <w:pPr>
        <w:pStyle w:val="Normal"/>
        <w:rPr>
          <w:sz w:val="24"/>
          <w:b/>
          <w:sz w:val="24"/>
          <w:b/>
          <w:szCs w:val="24"/>
          <w:bCs/>
          <w:rFonts w:ascii="Times New Roman" w:hAnsi="Times New Roman" w:eastAsia="SimSun"/>
          <w:lang w:eastAsia="zh-CN"/>
        </w:rPr>
      </w:pPr>
      <w:r>
        <w:rPr>
          <w:b/>
          <w:bCs/>
        </w:rPr>
      </w:r>
      <w:r/>
    </w:p>
    <w:p>
      <w:pPr>
        <w:pStyle w:val="Normal"/>
        <w:rPr>
          <w:b/>
          <w:b/>
          <w:bCs/>
        </w:rPr>
      </w:pPr>
      <w:r>
        <w:rPr>
          <w:b/>
          <w:bCs/>
        </w:rPr>
        <w:t>UWAGA!</w:t>
      </w:r>
      <w:r/>
    </w:p>
    <w:p>
      <w:pPr>
        <w:pStyle w:val="Normal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  <w:t>Należy wykazać sprawny sprzęt przeznaczony do obsługi terenu Gminy Gołcza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bCs/>
          <w:rFonts w:ascii="Times New Roman" w:hAnsi="Times New Roman" w:eastAsia="SimSun"/>
          <w:lang w:eastAsia="zh-CN"/>
        </w:rPr>
      </w:pPr>
      <w:r>
        <w:rPr>
          <w:b/>
          <w:bCs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......................................., dnia ...............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jc w:val="right"/>
        <w:rPr>
          <w:sz w:val="26"/>
          <w:sz w:val="26"/>
          <w:szCs w:val="26"/>
          <w:rFonts w:ascii="TimesNewRomanPSMT" w:hAnsi="TimesNewRomanPSMT" w:cs="TimesNewRomanPSMT"/>
          <w:lang w:eastAsia="pl-PL"/>
        </w:rPr>
      </w:pPr>
      <w:r>
        <w:rPr>
          <w:rFonts w:cs="TimesNewRomanPSMT" w:ascii="TimesNewRomanPSMT" w:hAnsi="TimesNewRomanPSMT"/>
          <w:sz w:val="26"/>
          <w:szCs w:val="26"/>
          <w:lang w:eastAsia="pl-PL"/>
        </w:rPr>
        <w:t>.................................................................</w:t>
      </w:r>
      <w:r/>
    </w:p>
    <w:p>
      <w:pPr>
        <w:pStyle w:val="Normal"/>
        <w:jc w:val="right"/>
      </w:pPr>
      <w:r>
        <w:rPr>
          <w:rFonts w:cs="TimesNewRomanPSMT CE" w:ascii="TimesNewRomanPSMT CE" w:hAnsi="TimesNewRomanPSMT CE"/>
          <w:sz w:val="15"/>
          <w:szCs w:val="15"/>
          <w:lang w:eastAsia="pl-PL"/>
        </w:rPr>
        <w:t>( pieczęć i podpisy upoważnionych przedstawicieli Wykonawcy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NewRomanPS-BoldMT">
    <w:charset w:val="ee"/>
    <w:family w:val="roman"/>
    <w:pitch w:val="variable"/>
  </w:font>
  <w:font w:name="TimesNewRomanPSMT">
    <w:charset w:val="ee"/>
    <w:family w:val="roman"/>
    <w:pitch w:val="variable"/>
  </w:font>
  <w:font w:name="TimesNewRomanPSMT CE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locked="1" w:name="Normal"/>
    <w:lsdException w:qFormat="1" w:semiHidden="0" w:unhideWhenUsed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nhideWhenUsed="0" w:uiPriority="0" w:locked="1" w:name="toc 1"/>
    <w:lsdException w:semiHidden="0" w:unhideWhenUsed="0" w:uiPriority="0" w:locked="1" w:name="toc 2"/>
    <w:lsdException w:semiHidden="0" w:unhideWhenUsed="0" w:uiPriority="0" w:locked="1" w:name="toc 3"/>
    <w:lsdException w:semiHidden="0" w:unhideWhenUsed="0" w:uiPriority="0" w:locked="1" w:name="toc 4"/>
    <w:lsdException w:semiHidden="0" w:unhideWhenUsed="0" w:uiPriority="0" w:locked="1" w:name="toc 5"/>
    <w:lsdException w:semiHidden="0" w:unhideWhenUsed="0" w:uiPriority="0" w:locked="1" w:name="toc 6"/>
    <w:lsdException w:semiHidden="0" w:unhideWhenUsed="0" w:uiPriority="0" w:locked="1" w:name="toc 7"/>
    <w:lsdException w:semiHidden="0" w:unhideWhenUsed="0" w:uiPriority="0" w:locked="1" w:name="toc 8"/>
    <w:lsdException w:semiHidden="0" w:unhideWhenUsed="0" w:uiPriority="0" w:locked="1" w:name="toc 9"/>
    <w:lsdException w:qFormat="1" w:uiPriority="0" w:locked="1" w:name="caption"/>
    <w:lsdException w:qFormat="1" w:semiHidden="0" w:unhideWhenUsed="0" w:uiPriority="0" w:locked="1" w:name="Title"/>
    <w:lsdException w:semiHidden="0" w:unhideWhenUsed="0" w:uiPriority="0" w:locked="1" w:name="Default Paragraph Font"/>
    <w:lsdException w:qFormat="1" w:semiHidden="0" w:unhideWhenUsed="0" w:uiPriority="0" w:locked="1" w:name="Subtitle"/>
    <w:lsdException w:qFormat="1" w:semiHidden="0" w:unhideWhenUsed="0" w:uiPriority="0" w:locked="1" w:name="Strong"/>
    <w:lsdException w:qFormat="1" w:semiHidden="0" w:unhideWhenUsed="0" w:uiPriority="0" w:locked="1" w:name="Emphasis"/>
    <w:lsdException w:semiHidden="0" w:unhideWhenUsed="0" w:uiPriority="0" w:locked="1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43e32"/>
    <w:pPr>
      <w:widowControl/>
      <w:suppressAutoHyphens w:val="true"/>
      <w:bidi w:val="0"/>
      <w:jc w:val="left"/>
    </w:pPr>
    <w:rPr>
      <w:rFonts w:ascii="Times New Roman" w:hAnsi="Times New Roman" w:eastAsia="SimSun" w:cs="Times New Roman"/>
      <w:color w:val="auto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FontStyle35" w:customStyle="1">
    <w:name w:val="Font Style35"/>
    <w:basedOn w:val="DefaultParagraphFont"/>
    <w:uiPriority w:val="99"/>
    <w:rsid w:val="00243e32"/>
    <w:rPr>
      <w:rFonts w:ascii="Times New Roman" w:hAnsi="Times New Roman" w:cs="Times New Roman"/>
      <w:color w:val="000000"/>
      <w:sz w:val="20"/>
      <w:szCs w:val="20"/>
    </w:rPr>
  </w:style>
  <w:style w:type="character" w:styleId="FontStyle26" w:customStyle="1">
    <w:name w:val="Font Style26"/>
    <w:basedOn w:val="DefaultParagraphFont"/>
    <w:uiPriority w:val="99"/>
    <w:rsid w:val="00243e32"/>
    <w:rPr>
      <w:rFonts w:ascii="Times New Roman" w:hAnsi="Times New Roman" w:cs="Times New Roman"/>
      <w:color w:val="000000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semiHidden/>
    <w:locked/>
    <w:rsid w:val="00fa0160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fa0160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Wingdings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Tekstpodstawowy21" w:customStyle="1">
    <w:name w:val="Tekst podstawowy 21"/>
    <w:basedOn w:val="Normal"/>
    <w:uiPriority w:val="99"/>
    <w:rsid w:val="00243e32"/>
    <w:pPr>
      <w:suppressAutoHyphens w:val="true"/>
      <w:jc w:val="both"/>
    </w:pPr>
    <w:rPr>
      <w:rFonts w:ascii="Arial" w:hAnsi="Arial" w:eastAsia="Times New Roman" w:cs="Arial"/>
      <w:lang w:eastAsia="ar-SA"/>
    </w:rPr>
  </w:style>
  <w:style w:type="paragraph" w:styleId="Style101" w:customStyle="1">
    <w:name w:val="Style10"/>
    <w:basedOn w:val="Normal"/>
    <w:uiPriority w:val="99"/>
    <w:rsid w:val="00243e32"/>
    <w:pPr>
      <w:widowControl w:val="false"/>
      <w:spacing w:lineRule="exact" w:line="259"/>
    </w:pPr>
    <w:rPr>
      <w:rFonts w:eastAsia="Times New Roman"/>
      <w:lang w:eastAsia="pl-PL"/>
    </w:rPr>
  </w:style>
  <w:style w:type="paragraph" w:styleId="Mojenaglowek1" w:customStyle="1">
    <w:name w:val="moje_naglowek1"/>
    <w:uiPriority w:val="99"/>
    <w:rsid w:val="00d5663d"/>
    <w:pPr>
      <w:keepNext/>
      <w:widowControl/>
      <w:suppressAutoHyphens w:val="true"/>
      <w:bidi w:val="0"/>
      <w:spacing w:before="120" w:after="240"/>
      <w:jc w:val="left"/>
    </w:pPr>
    <w:rPr>
      <w:rFonts w:ascii="Arial" w:hAnsi="Arial" w:cs="Arial" w:eastAsia="Calibri"/>
      <w:b/>
      <w:bCs/>
      <w:color w:val="auto"/>
      <w:sz w:val="28"/>
      <w:szCs w:val="28"/>
      <w:lang w:eastAsia="ar-SA" w:val="pl-PL" w:bidi="ar-SA"/>
    </w:rPr>
  </w:style>
  <w:style w:type="paragraph" w:styleId="Gwka">
    <w:name w:val="Główka"/>
    <w:basedOn w:val="Normal"/>
    <w:link w:val="HeaderChar"/>
    <w:uiPriority w:val="99"/>
    <w:semiHidden/>
    <w:rsid w:val="00fa0160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FooterChar"/>
    <w:uiPriority w:val="99"/>
    <w:semiHidden/>
    <w:rsid w:val="00fa0160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313</TotalTime>
  <Application>LibreOffice/4.3.1.2$Windows_x86 LibreOffice_project/958349dc3b25111dbca392fbc281a05559ef6848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2013-04-17T16:49:00Z</dcterms:created>
  <dc:creator>Jolanta Gąkowska</dc:creator>
  <dc:language>pl-PL</dc:language>
  <dcterms:modified xsi:type="dcterms:W3CDTF">2015-05-15T13:12:54Z</dcterms:modified>
  <cp:revision>6</cp:revision>
  <dc:title>Załącznik nr 4 do SIWZ</dc:title>
</cp:coreProperties>
</file>